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Информационные материалы</w:t>
      </w:r>
    </w:p>
    <w:p>
      <w:pPr>
        <w:pStyle w:val="Heading2"/>
        <w:rPr/>
      </w:pPr>
      <w:r>
        <w:rPr/>
        <w:t xml:space="preserve">О лучших практиках субъектов Российской Федерации по оказанию услуг ранней помощи детям и их семьям, в том числе силами негосударственных поставщиков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