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Отчеты о ходе реализации государственной программы Российской Федерации «Доступная среда» и ее структурных элементов за 2022 год</w:t>
      </w:r>
    </w:p>
    <w:p>
      <w:pPr>
        <w:pStyle w:val="Heading2"/>
        <w:spacing w:before="200" w:after="120"/>
        <w:rPr/>
      </w:pPr>
      <w:r>
        <w:rPr/>
        <w:t>Отчеты о ходе реализации государственной программы Российской Федерации «Доступная среда» и ее структурных элементов за 2022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