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Уведомление Минтруда России от 19 февраля 2013 г. </w:t>
      </w:r>
    </w:p>
    <w:p>
      <w:pPr>
        <w:pStyle w:val="Heading2"/>
        <w:rPr/>
      </w:pPr>
      <w:r>
        <w:rPr/>
        <w:t>«О разработке проекта федерального закона «О специальной оценке условий труда»»</w:t>
      </w:r>
    </w:p>
    <w:p>
      <w:pPr>
        <w:pStyle w:val="TextBody"/>
        <w:spacing w:before="0" w:after="283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6480175" cy="9972040"/>
                <wp:effectExtent l="0" t="0" r="0" b="0"/>
                <wp:wrapSquare wrapText="largest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997204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10205" w:type="dxa"/>
                              <w:jc w:val="left"/>
                              <w:tblInd w:w="28" w:type="dxa"/>
                              <w:tblBorders>
                                <w:top w:val="single" w:sz="6" w:space="0" w:color="808080"/>
                                <w:left w:val="single" w:sz="6" w:space="0" w:color="808080"/>
                                <w:bottom w:val="single" w:sz="2" w:space="0" w:color="808080"/>
                                <w:insideH w:val="single" w:sz="2" w:space="0" w:color="808080"/>
                              </w:tblBorders>
                              <w:tblCellMar>
                                <w:top w:w="28" w:type="dxa"/>
                                <w:left w:w="20" w:type="dxa"/>
                                <w:bottom w:w="28" w:type="dxa"/>
                                <w:right w:w="28" w:type="dxa"/>
                              </w:tblCellMar>
                            </w:tblPr>
                            <w:tblGrid>
                              <w:gridCol w:w="331"/>
                              <w:gridCol w:w="2085"/>
                              <w:gridCol w:w="7789"/>
                            </w:tblGrid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Вид нормативного правового акта:</w:t>
                                  </w:r>
                                </w:p>
                              </w:tc>
                              <w:tc>
                                <w:tcPr>
                                  <w:tcW w:w="7789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Федеральный закон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Федеральный орган исполнительной власти, ответственный за разработку проекта:</w:t>
                                  </w:r>
                                </w:p>
                              </w:tc>
                              <w:tc>
                                <w:tcPr>
                                  <w:tcW w:w="7789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Министерство труда и социальной защиты Российской Федерации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Наименование нормативного правового акта:</w:t>
                                  </w:r>
                                </w:p>
                              </w:tc>
                              <w:tc>
                                <w:tcPr>
                                  <w:tcW w:w="7789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«О специальной оценке условий труда»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Планируемый срок вступления в силу нормативного правового акта:</w:t>
                                  </w:r>
                                </w:p>
                              </w:tc>
                              <w:tc>
                                <w:tcPr>
                                  <w:tcW w:w="7789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декабрь 2013 г.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Краткое изложение целей регулирования:</w:t>
                                  </w:r>
                                </w:p>
                              </w:tc>
                              <w:tc>
                                <w:tcPr>
                                  <w:tcW w:w="7789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Проект федерального закона вводит порядок и процедуры специальной оценки условий труда на рабочих местах, требования к организациям, осуществляющим оценку условий труда, критерии определения условий труда на рабочих местах с целью выявления целесообразности установления работникам, занятым во вредных условиях труда, компенсаций за работу в таких условиях, определения для работодателя величины страхового тарифа и скидок (надбавок) к нему, а также размеров отчисления в Пенсионный фонд в зависимости от условий труда на рабочих местах.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Круг лиц, на которых будет распространено его действие:</w:t>
                                  </w:r>
                                </w:p>
                              </w:tc>
                              <w:tc>
                                <w:tcPr>
                                  <w:tcW w:w="7789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На субъекты трудовых отношений – работников и работодателей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Обоснование необходимости подготовки проекта нормативного правового акта:</w:t>
                                  </w:r>
                                </w:p>
                              </w:tc>
                              <w:tc>
                                <w:tcPr>
                                  <w:tcW w:w="7789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Задачи улучшения условий и охраны труда будут решаться с учетом принятия Федерального закона от 3 декабря 2012 г. № 243-ФЗ «О внесении изменений в отдельные законодательные акты Российской Федерации по вопросам обязательного пенсионного страхования». В соответствии с указанным законом в Федеральном законе от 24 июля 2009 года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введена новая статья 58.3 «Дополнительные тарифы страховых взносов для отдельных категорий плательщиков страховых взносов с 1 января 2013 года». Пункт 4 указанной статьи предусматривает, что плательщики страховых взносов освобождаются от уплаты страховых взносов в Пенсионный фонд Российской Федерации по дополнительным тарифам, установленным частями 1 и 2 настоящей статьи, по результатам специальной оценки условий труда, проводимой в порядке, устанавливаемом отдельным федеральным законом. В этой связи необходимо создать единую систему специальной оценки условий труда обеспечивающей назначения компенсаций, страховых тарифов, скидок (надбавок), а также размеров отчислений в Пенсионный фонд Российской Федерации с целью установления ответственности работодателя за состояние условий охраны труда находящегося в его введении рабочих местах. Указанное поручение утверждено Президентом Российской Федерации 22 декабря 2012г. (п.22 Перечня Поручений по реализации Послания Президента Российской Федерации Федеральному Собранию Российской Федерации от 12 декабря 2012г.)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Общая характеристика соответствующих общественных отношений:</w:t>
                                  </w:r>
                                </w:p>
                              </w:tc>
                              <w:tc>
                                <w:tcPr>
                                  <w:tcW w:w="7789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Трудовым законодательством установлена процедура аттестации рабочих мест по условиям труда. Указанная процедура необходима для установления состояния условий труда на рабочих местах в случае выявления вредных условий труда на рабочих местах законодательство предусматривает компенсации занятым на них работникам. Кроме того результаты аттестации учитываются при назначении страховых тарифов для работодателей, скидок (надбавок) к этим тарифам. Вместе с тем в существующем законодательстве механизмы стимулирования работодателя к улучшению условий и охраны труда разобщены по различным федеральным законам и подзаконным нормативным правовым актам, а также не учитывают влияние условий труда на размеры пенсионного обеспечения и сроки выхода на пенсию работников, в связи с чем работодатель не несет ответственности в случае выхода работников на досрочную пенсию вследствие вредных условий труда на его рабочем месте. Указанные издержки несет Пенсионный фонд Российской Федерации, что неприемлемо в условиях сокращения численности трудоспособного населения и роста количества пенсионеров по старости. В этой связи необходимо создать единую систему специальной оценки условий труда обеспечивающей назначения компенсаций, страховых тарифов, скидок (надбавок), а также размеров отчислений в Пенсионный фонд Российской Федерации с целью установления ответственности работодателя за состояние условий охраны труда находящегося в его введении рабочих местах.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Срок публичного обсуждения:</w:t>
                                  </w:r>
                                </w:p>
                              </w:tc>
                              <w:tc>
                                <w:tcPr>
                                  <w:tcW w:w="7789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60 дней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rPr/>
                                  </w:pPr>
                                  <w:r>
                                    <w:rPr/>
                                    <w:t>ФИО ответственного лица: E-mail: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Телефон:</w:t>
                                  </w:r>
                                </w:p>
                              </w:tc>
                              <w:tc>
                                <w:tcPr>
                                  <w:tcW w:w="7789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rPr/>
                                  </w:pPr>
                                  <w:r>
                                    <w:rPr/>
                                    <w:t>Солдунов Владимир Андреевич</w:t>
                                  </w:r>
                                </w:p>
                                <w:p>
                                  <w:pPr>
                                    <w:pStyle w:val="TableContents"/>
                                    <w:rPr/>
                                  </w:pPr>
                                  <w:r>
                                    <w:rPr/>
                                    <w:t>SoldunovVA@rosmintrud.ru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8(495)606-16-63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6" w:space="0" w:color="808080"/>
                                    <w:insideH w:val="single" w:sz="6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tcBorders>
                                    <w:left w:val="single" w:sz="2" w:space="0" w:color="808080"/>
                                    <w:bottom w:val="single" w:sz="6" w:space="0" w:color="808080"/>
                                    <w:insideH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Дата составления уведомления:</w:t>
                                  </w:r>
                                </w:p>
                              </w:tc>
                              <w:tc>
                                <w:tcPr>
                                  <w:tcW w:w="7789" w:type="dxa"/>
                                  <w:tcBorders>
                                    <w:left w:val="single" w:sz="2" w:space="0" w:color="808080"/>
                                    <w:bottom w:val="single" w:sz="6" w:space="0" w:color="808080"/>
                                    <w:right w:val="single" w:sz="6" w:space="0" w:color="808080"/>
                                    <w:insideH w:val="single" w:sz="6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19.02.2013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0.25pt;height:785.2pt;margin-top:0pt;mso-position-vertical:top;mso-position-vertical-relative:text;margin-left:0pt;mso-position-horizontal:left;mso-position-horizontal-relative:text">
                <v:textbox>
                  <w:txbxContent>
                    <w:tbl>
                      <w:tblPr>
                        <w:tblW w:w="10205" w:type="dxa"/>
                        <w:jc w:val="left"/>
                        <w:tblInd w:w="28" w:type="dxa"/>
                        <w:tblBorders>
                          <w:top w:val="single" w:sz="6" w:space="0" w:color="808080"/>
                          <w:left w:val="single" w:sz="6" w:space="0" w:color="808080"/>
                          <w:bottom w:val="single" w:sz="2" w:space="0" w:color="808080"/>
                          <w:insideH w:val="single" w:sz="2" w:space="0" w:color="808080"/>
                        </w:tblBorders>
                        <w:tblCellMar>
                          <w:top w:w="28" w:type="dxa"/>
                          <w:left w:w="20" w:type="dxa"/>
                          <w:bottom w:w="28" w:type="dxa"/>
                          <w:right w:w="28" w:type="dxa"/>
                        </w:tblCellMar>
                      </w:tblPr>
                      <w:tblGrid>
                        <w:gridCol w:w="331"/>
                        <w:gridCol w:w="2085"/>
                        <w:gridCol w:w="7789"/>
                      </w:tblGrid>
                      <w:tr>
                        <w:trPr/>
                        <w:tc>
                          <w:tcPr>
                            <w:tcW w:w="331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2085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Вид нормативного правового акта:</w:t>
                            </w:r>
                          </w:p>
                        </w:tc>
                        <w:tc>
                          <w:tcPr>
                            <w:tcW w:w="7789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Федеральный закон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0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Федеральный орган исполнительной власти, ответственный за разработку проекта:</w:t>
                            </w:r>
                          </w:p>
                        </w:tc>
                        <w:tc>
                          <w:tcPr>
                            <w:tcW w:w="7789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Министерство труда и социальной защиты Российской Федерации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20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Наименование нормативного правового акта:</w:t>
                            </w:r>
                          </w:p>
                        </w:tc>
                        <w:tc>
                          <w:tcPr>
                            <w:tcW w:w="7789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«О специальной оценке условий труда»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0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Планируемый срок вступления в силу нормативного правового акта:</w:t>
                            </w:r>
                          </w:p>
                        </w:tc>
                        <w:tc>
                          <w:tcPr>
                            <w:tcW w:w="7789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декабрь 2013 г.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0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Краткое изложение целей регулирования:</w:t>
                            </w:r>
                          </w:p>
                        </w:tc>
                        <w:tc>
                          <w:tcPr>
                            <w:tcW w:w="7789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Проект федерального закона вводит порядок и процедуры специальной оценки условий труда на рабочих местах, требования к организациям, осуществляющим оценку условий труда, критерии определения условий труда на рабочих местах с целью выявления целесообразности установления работникам, занятым во вредных условиях труда, компенсаций за работу в таких условиях, определения для работодателя величины страхового тарифа и скидок (надбавок) к нему, а также размеров отчисления в Пенсионный фонд в зависимости от условий труда на рабочих местах.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20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Круг лиц, на которых будет распространено его действие:</w:t>
                            </w:r>
                          </w:p>
                        </w:tc>
                        <w:tc>
                          <w:tcPr>
                            <w:tcW w:w="7789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На субъекты трудовых отношений – работников и работодателей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7</w:t>
                            </w:r>
                          </w:p>
                        </w:tc>
                        <w:tc>
                          <w:tcPr>
                            <w:tcW w:w="20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Обоснование необходимости подготовки проекта нормативного правового акта:</w:t>
                            </w:r>
                          </w:p>
                        </w:tc>
                        <w:tc>
                          <w:tcPr>
                            <w:tcW w:w="7789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Задачи улучшения условий и охраны труда будут решаться с учетом принятия Федерального закона от 3 декабря 2012 г. № 243-ФЗ «О внесении изменений в отдельные законодательные акты Российской Федерации по вопросам обязательного пенсионного страхования». В соответствии с указанным законом в Федеральном законе от 24 июля 2009 года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введена новая статья 58.3 «Дополнительные тарифы страховых взносов для отдельных категорий плательщиков страховых взносов с 1 января 2013 года». Пункт 4 указанной статьи предусматривает, что плательщики страховых взносов освобождаются от уплаты страховых взносов в Пенсионный фонд Российской Федерации по дополнительным тарифам, установленным частями 1 и 2 настоящей статьи, по результатам специальной оценки условий труда, проводимой в порядке, устанавливаемом отдельным федеральным законом. В этой связи необходимо создать единую систему специальной оценки условий труда обеспечивающей назначения компенсаций, страховых тарифов, скидок (надбавок), а также размеров отчислений в Пенсионный фонд Российской Федерации с целью установления ответственности работодателя за состояние условий охраны труда находящегося в его введении рабочих местах. Указанное поручение утверждено Президентом Российской Федерации 22 декабря 2012г. (п.22 Перечня Поручений по реализации Послания Президента Российской Федерации Федеральному Собранию Российской Федерации от 12 декабря 2012г.)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20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Общая характеристика соответствующих общественных отношений:</w:t>
                            </w:r>
                          </w:p>
                        </w:tc>
                        <w:tc>
                          <w:tcPr>
                            <w:tcW w:w="7789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Трудовым законодательством установлена процедура аттестации рабочих мест по условиям труда. Указанная процедура необходима для установления состояния условий труда на рабочих местах в случае выявления вредных условий труда на рабочих местах законодательство предусматривает компенсации занятым на них работникам. Кроме того результаты аттестации учитываются при назначении страховых тарифов для работодателей, скидок (надбавок) к этим тарифам. Вместе с тем в существующем законодательстве механизмы стимулирования работодателя к улучшению условий и охраны труда разобщены по различным федеральным законам и подзаконным нормативным правовым актам, а также не учитывают влияние условий труда на размеры пенсионного обеспечения и сроки выхода на пенсию работников, в связи с чем работодатель не несет ответственности в случае выхода работников на досрочную пенсию вследствие вредных условий труда на его рабочем месте. Указанные издержки несет Пенсионный фонд Российской Федерации, что неприемлемо в условиях сокращения численности трудоспособного населения и роста количества пенсионеров по старости. В этой связи необходимо создать единую систему специальной оценки условий труда обеспечивающей назначения компенсаций, страховых тарифов, скидок (надбавок), а также размеров отчислений в Пенсионный фонд Российской Федерации с целью установления ответственности работодателя за состояние условий охраны труда находящегося в его введении рабочих местах.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9</w:t>
                            </w:r>
                          </w:p>
                        </w:tc>
                        <w:tc>
                          <w:tcPr>
                            <w:tcW w:w="20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Срок публичного обсуждения:</w:t>
                            </w:r>
                          </w:p>
                        </w:tc>
                        <w:tc>
                          <w:tcPr>
                            <w:tcW w:w="7789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60 дней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10</w:t>
                            </w:r>
                          </w:p>
                        </w:tc>
                        <w:tc>
                          <w:tcPr>
                            <w:tcW w:w="20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rPr/>
                            </w:pPr>
                            <w:r>
                              <w:rPr/>
                              <w:t>ФИО ответственного лица: E-mail: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Телефон:</w:t>
                            </w:r>
                          </w:p>
                        </w:tc>
                        <w:tc>
                          <w:tcPr>
                            <w:tcW w:w="7789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rPr/>
                            </w:pPr>
                            <w:r>
                              <w:rPr/>
                              <w:t>Солдунов Владимир Андреевич</w:t>
                            </w:r>
                          </w:p>
                          <w:p>
                            <w:pPr>
                              <w:pStyle w:val="TableContents"/>
                              <w:rPr/>
                            </w:pPr>
                            <w:r>
                              <w:rPr/>
                              <w:t>SoldunovVA@rosmintrud.ru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8(495)606-16-63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6" w:space="0" w:color="808080"/>
                              <w:insideH w:val="single" w:sz="6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  <w:tc>
                          <w:tcPr>
                            <w:tcW w:w="2085" w:type="dxa"/>
                            <w:tcBorders>
                              <w:left w:val="single" w:sz="2" w:space="0" w:color="808080"/>
                              <w:bottom w:val="single" w:sz="6" w:space="0" w:color="808080"/>
                              <w:insideH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Дата составления уведомления:</w:t>
                            </w:r>
                          </w:p>
                        </w:tc>
                        <w:tc>
                          <w:tcPr>
                            <w:tcW w:w="7789" w:type="dxa"/>
                            <w:tcBorders>
                              <w:left w:val="single" w:sz="2" w:space="0" w:color="808080"/>
                              <w:bottom w:val="single" w:sz="6" w:space="0" w:color="808080"/>
                              <w:right w:val="single" w:sz="6" w:space="0" w:color="808080"/>
                              <w:insideH w:val="single" w:sz="6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19.02.2013</w:t>
                            </w:r>
                          </w:p>
                        </w:tc>
                      </w:tr>
                    </w:tbl>
                  </w:txbxContent>
                </v:textbox>
                <w10:wrap type="square" side="right"/>
              </v:rect>
            </w:pict>
          </mc:Fallback>
        </mc:AlternateConten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