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Уведомление Минтруда России от 5 марта 2013 г. </w:t>
      </w:r>
    </w:p>
    <w:p>
      <w:pPr>
        <w:pStyle w:val="Heading2"/>
        <w:rPr/>
      </w:pPr>
      <w:r>
        <w:rPr/>
        <w:t>«О разработке проекта постановления Правительства Российской Федерации «О переносе выходных дней в 2014 году»»</w:t>
      </w:r>
    </w:p>
    <w:tbl>
      <w:tblPr>
        <w:tblW w:w="10205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339"/>
        <w:gridCol w:w="3791"/>
        <w:gridCol w:w="6075"/>
      </w:tblGrid>
      <w:tr>
        <w:trPr/>
        <w:tc>
          <w:tcPr>
            <w:tcW w:w="33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1.</w:t>
            </w:r>
          </w:p>
        </w:tc>
        <w:tc>
          <w:tcPr>
            <w:tcW w:w="379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Вид нормативного правового акта</w:t>
            </w:r>
          </w:p>
        </w:tc>
        <w:tc>
          <w:tcPr>
            <w:tcW w:w="607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Постановление Правительства Российской Федерации</w:t>
            </w:r>
          </w:p>
        </w:tc>
      </w:tr>
      <w:tr>
        <w:trPr/>
        <w:tc>
          <w:tcPr>
            <w:tcW w:w="33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2.</w:t>
            </w:r>
          </w:p>
        </w:tc>
        <w:tc>
          <w:tcPr>
            <w:tcW w:w="379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Наименование проекта нормативного правового акта</w:t>
            </w:r>
          </w:p>
        </w:tc>
        <w:tc>
          <w:tcPr>
            <w:tcW w:w="60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«О переносе выходных дней в 2014 году»</w:t>
            </w:r>
          </w:p>
        </w:tc>
      </w:tr>
      <w:tr>
        <w:trPr/>
        <w:tc>
          <w:tcPr>
            <w:tcW w:w="33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3.</w:t>
            </w:r>
          </w:p>
        </w:tc>
        <w:tc>
          <w:tcPr>
            <w:tcW w:w="379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Планируемый срок вступления в силу нормативного правового акта</w:t>
            </w:r>
          </w:p>
        </w:tc>
        <w:tc>
          <w:tcPr>
            <w:tcW w:w="60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 дня официального опубликования</w:t>
            </w:r>
          </w:p>
        </w:tc>
      </w:tr>
      <w:tr>
        <w:trPr/>
        <w:tc>
          <w:tcPr>
            <w:tcW w:w="33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4.</w:t>
            </w:r>
          </w:p>
        </w:tc>
        <w:tc>
          <w:tcPr>
            <w:tcW w:w="379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Круг лиц, на которых будет распространяться действие нормативного правового акта</w:t>
            </w:r>
          </w:p>
        </w:tc>
        <w:tc>
          <w:tcPr>
            <w:tcW w:w="60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Граждане Российской Федерации</w:t>
            </w:r>
          </w:p>
        </w:tc>
      </w:tr>
      <w:tr>
        <w:trPr/>
        <w:tc>
          <w:tcPr>
            <w:tcW w:w="33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5.</w:t>
            </w:r>
          </w:p>
        </w:tc>
        <w:tc>
          <w:tcPr>
            <w:tcW w:w="379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Необходимость установления переходного периода</w:t>
            </w:r>
          </w:p>
        </w:tc>
        <w:tc>
          <w:tcPr>
            <w:tcW w:w="60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 имеется</w:t>
            </w:r>
          </w:p>
        </w:tc>
      </w:tr>
      <w:tr>
        <w:trPr/>
        <w:tc>
          <w:tcPr>
            <w:tcW w:w="33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6.</w:t>
            </w:r>
          </w:p>
        </w:tc>
        <w:tc>
          <w:tcPr>
            <w:tcW w:w="379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Краткое изложение цели регулирования</w:t>
            </w:r>
          </w:p>
        </w:tc>
        <w:tc>
          <w:tcPr>
            <w:tcW w:w="60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Проект постановления Правительства Российской Федерации «О переносе выходных дней в 2014 году» подготовлен в целях рационального использования работниками выходных и нерабочих праздничных дней в соответствии со статьей 112 Трудового кодекса Российской Федерации.</w:t>
            </w:r>
          </w:p>
        </w:tc>
      </w:tr>
      <w:tr>
        <w:trPr/>
        <w:tc>
          <w:tcPr>
            <w:tcW w:w="33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7.</w:t>
            </w:r>
          </w:p>
        </w:tc>
        <w:tc>
          <w:tcPr>
            <w:tcW w:w="379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Общая характеристика соответствующих общественных отношений и обоснование необходимости подготовки нормативного правового акта</w:t>
            </w:r>
          </w:p>
        </w:tc>
        <w:tc>
          <w:tcPr>
            <w:tcW w:w="60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соответствии со статьей 112 Трудового кодекса Российской Федерации (в ред. Федерального закона от 23 апреля 2012 г. № 35-ФЗ) и поручением Правительства Российской Федерации от 21 мая 2012 г. № ИШ-П12-2861.</w:t>
            </w:r>
          </w:p>
        </w:tc>
      </w:tr>
      <w:tr>
        <w:trPr/>
        <w:tc>
          <w:tcPr>
            <w:tcW w:w="33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8.</w:t>
            </w:r>
          </w:p>
        </w:tc>
        <w:tc>
          <w:tcPr>
            <w:tcW w:w="379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Сведения о разработчике проекта нормативного правового акта</w:t>
            </w:r>
          </w:p>
        </w:tc>
        <w:tc>
          <w:tcPr>
            <w:tcW w:w="60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Министерство труда и социальной защиты Российской Федерации, Департамент оплаты труда, трудовых отношений и социального партнерства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127994, ГСП-4, г. Москва, ул. Ильинка, д. 21, </w:t>
            </w:r>
            <w:hyperlink r:id="rId2">
              <w:r>
                <w:rPr>
                  <w:rStyle w:val="InternetLink"/>
                </w:rPr>
                <w:t>www.rosmintrud.ru</w:t>
              </w:r>
            </w:hyperlink>
          </w:p>
        </w:tc>
      </w:tr>
      <w:tr>
        <w:trPr/>
        <w:tc>
          <w:tcPr>
            <w:tcW w:w="33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9.</w:t>
            </w:r>
          </w:p>
        </w:tc>
        <w:tc>
          <w:tcPr>
            <w:tcW w:w="379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Срок, в течение которого разработчиком принимаются предложения, и наиболее удобный способ их представления</w:t>
            </w:r>
          </w:p>
        </w:tc>
        <w:tc>
          <w:tcPr>
            <w:tcW w:w="60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15 календарных дней с даты размещения уведомления на официальном сайте Минтруда России.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Представление предложений по результатам обсуждения уведомления (на бумажном носителе и (или) в электронном виде)</w:t>
            </w:r>
          </w:p>
        </w:tc>
      </w:tr>
      <w:tr>
        <w:trPr/>
        <w:tc>
          <w:tcPr>
            <w:tcW w:w="33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10.</w:t>
            </w:r>
          </w:p>
        </w:tc>
        <w:tc>
          <w:tcPr>
            <w:tcW w:w="379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Концепция проекта федерального закона</w:t>
            </w:r>
          </w:p>
        </w:tc>
        <w:tc>
          <w:tcPr>
            <w:tcW w:w="60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 требуется</w:t>
            </w:r>
          </w:p>
        </w:tc>
      </w:tr>
      <w:tr>
        <w:trPr/>
        <w:tc>
          <w:tcPr>
            <w:tcW w:w="339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11.</w:t>
            </w:r>
          </w:p>
        </w:tc>
        <w:tc>
          <w:tcPr>
            <w:tcW w:w="3791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Иная информация, относящаяся к сведениям о подготовке проекта</w:t>
            </w:r>
          </w:p>
        </w:tc>
        <w:tc>
          <w:tcPr>
            <w:tcW w:w="607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 имеется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mintrud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