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№576н от 25 октября 2013 г.</w:t>
      </w:r>
    </w:p>
    <w:p>
      <w:pPr>
        <w:pStyle w:val="Heading2"/>
        <w:rPr/>
      </w:pPr>
      <w:r>
        <w:rPr/>
        <w:t>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подразделений»</w:t>
      </w:r>
    </w:p>
    <w:p>
      <w:pPr>
        <w:pStyle w:val="TextBody"/>
        <w:rPr/>
      </w:pPr>
      <w:r>
        <w:rPr/>
        <w:t>(Приказ направлен на регистрацию в Минюст России. Срок приема заключений по результатам независимой антикоррупционной экспертизы - с 17 февраля по 24 февраля 2014 года)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1651, № 27, ст. 3477, 3480; № 30, ст. 4084), постановлениями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7507),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20 сентября 2011 г. № 1052н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подразделений» (зарегистрирован Министерством юстиции Российской Федерации 24 ноября 2011 г. № 22382).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