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№681н от 18 ноября 2013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 реабилитационной работе в социальной сфере»»</w:t>
      </w:r>
    </w:p>
    <w:p>
      <w:pPr>
        <w:pStyle w:val="TextBody"/>
        <w:rPr/>
      </w:pPr>
      <w:r>
        <w:rPr/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293), п р и к а з ы в а ю:</w:t>
      </w:r>
    </w:p>
    <w:p>
      <w:pPr>
        <w:pStyle w:val="TextBody"/>
        <w:rPr/>
      </w:pPr>
      <w:r>
        <w:rPr/>
        <w:t>1. Утвердить прилагаемый профессиональный стандарт «Специалист по реабилитационной работе в социальной сфере».</w:t>
      </w:r>
    </w:p>
    <w:p>
      <w:pPr>
        <w:pStyle w:val="TextBody"/>
        <w:rPr/>
      </w:pPr>
      <w:r>
        <w:rPr/>
        <w:t xml:space="preserve">2. Установить, что профессиональный стандарт «Специалист по реабилитационной работе в социальной сфере»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