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№768н от 20 декабря 2013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распространяются»</w:t>
      </w:r>
    </w:p>
    <w:p>
      <w:pPr>
        <w:pStyle w:val="TextBody"/>
        <w:rPr/>
      </w:pPr>
      <w:r>
        <w:rPr/>
        <w:t>В соответствии со статьей 18.1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2006, № 30, ст. 3286; 2008, № 30, ст. 3616; 2010, № 52, ст. 7000; 2013, № 19, ст. 2309) п р и к а з ы в а ю:</w:t>
      </w:r>
    </w:p>
    <w:p>
      <w:pPr>
        <w:pStyle w:val="TextBody"/>
        <w:rPr/>
      </w:pPr>
      <w:r>
        <w:rPr/>
        <w:t>1. 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распространяются,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3 декабря 2012 г. № 568н «Об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распространяются, на 2013 год» (зарегистрирован в Министерстве юстиции Российской Федерации 21 декабря 2012 г. № 26247).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