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Минздрава России №16-3/10/1-1084 от 11 марта 2014 г.</w:t>
      </w:r>
    </w:p>
    <w:p>
      <w:pPr>
        <w:pStyle w:val="Heading2"/>
        <w:rPr/>
      </w:pPr>
      <w:r>
        <w:rPr/>
        <w:t>Письмо Минздрава России №16-3/10/1-1084 от 11 марта 2014 г.</w:t>
      </w:r>
    </w:p>
    <w:p>
      <w:pPr>
        <w:pStyle w:val="TextBody"/>
        <w:rPr/>
      </w:pPr>
      <w:r>
        <w:rPr>
          <w:rStyle w:val="StrongEmphasis"/>
        </w:rPr>
        <w:t>Рекомендации по внесению изменений в региональные «дорожные карты», направленные на повышение эффективности здравоохранения</w:t>
      </w:r>
      <w:r>
        <w:rPr/>
        <w:t xml:space="preserve"> </w:t>
      </w:r>
    </w:p>
    <w:p>
      <w:pPr>
        <w:pStyle w:val="TextBody"/>
        <w:rPr/>
      </w:pPr>
      <w:r>
        <w:rPr/>
        <w:t>Указом Президента Российской Федерации от 7 мая 2012 г. №597 «О мероприятиях по реализации государственной социальной политики» (далее – Указ Президента № 597) определен комплекс мер, направленных на дальнейшее совершенствование государственной социальной политики, в том числе на повышение оплаты труда работников образования, здравоохранения, науки, культуры и социального обслуживания населения.</w:t>
      </w:r>
    </w:p>
    <w:p>
      <w:pPr>
        <w:pStyle w:val="TextBody"/>
        <w:rPr/>
      </w:pPr>
      <w:r>
        <w:rPr/>
        <w:t>Для сохранения кадрового потенциала, повышения престижности и привлекательности профессий в бюджетном секторе экономики в соответствии с Указом Президента № 597 Правительство Российской Федерации распоряжением от 26 ноября 2012 г. № 2190-р утвердило программу поэтапного совершенствования системы оплаты труда работников бюджетного сектора экономики на 2012-2018 годы (далее – Программа), которой в качестве основной задачи предусматривается ориентация системы оплаты труда на достижение конкретных показателей качества и количества оказываемых государственных услуг (выполнения работ).</w:t>
      </w:r>
    </w:p>
    <w:p>
      <w:pPr>
        <w:pStyle w:val="TextBody"/>
        <w:rPr/>
      </w:pPr>
      <w:r>
        <w:rPr/>
        <w:t xml:space="preserve">В соответствии с Планом мероприятий Программы Минздравом России, разработан и утвержден распоряжением Правительства Российской Федерации 28 декабря 2012 г. № 2599-р План мероприятий («дорожная карта») «Изменения в отраслях социальной сферы, направленные на повышение эффективности здравоохранения» (далее – отраслевая «дорожная карта»). </w:t>
      </w:r>
    </w:p>
    <w:p>
      <w:pPr>
        <w:pStyle w:val="TextBody"/>
        <w:rPr/>
      </w:pPr>
      <w:r>
        <w:rPr/>
        <w:t>В отраслевую «дорожную карту» включены мероприятия по проведению структурных реформ в отрасли, обеспечивающие возможность использования не менее трети необходимых ресурсов для повышения оплаты труда за счет реорганизации неэффективных организаций в целях поэтапного повышения заработной платы медицинских работников, повышения престижности работы в учреждениях здравоохранения, сохранения кадрового потенциала и обеспечения соответствия оплаты труда качеству оказываемых услуг.</w:t>
      </w:r>
    </w:p>
    <w:p>
      <w:pPr>
        <w:pStyle w:val="TextBody"/>
        <w:rPr/>
      </w:pPr>
      <w:r>
        <w:rPr/>
        <w:t>Субъектами Российской Федерации по согласованию с Минздравом России утверждены региональные «дорожные карты», направленные на повышение эффективности здравоохранения (далее – региональные «дорожные карты»), содержащие целевые индикаторы развития отрасли, оптимизацию структуры и определение динамики значений соотношения средней заработной платы категорий работников, определенных Указом Президента № 597, и средней заработной платы в соответствующем субъекте Российской Федерации в 2012 - 2018 годах. Однако, региональные «дорожные карты» субъектов Российской Федерации не в полной мере предусматривают рекомендованный отраслевой «дорожной картой» комплекс мероприятий, направленных на повышение эффективности деятельности сети и реорганизацию структуры неэффективных учреждений, увеличение доходов от приносящей доход деятельности, оптимизацию численности работающих, в целях реализации Указа Президента № 597.</w:t>
      </w:r>
    </w:p>
    <w:p>
      <w:pPr>
        <w:pStyle w:val="TextBody"/>
        <w:rPr/>
      </w:pPr>
      <w:r>
        <w:rPr/>
        <w:t>Таким образом, Минздрав России считает необходимым внесение изменений в региональные «дорожные карты», предусмотрев на уровне субъекта Российской Федерации:</w:t>
      </w:r>
    </w:p>
    <w:p>
      <w:pPr>
        <w:pStyle w:val="TextBody"/>
        <w:rPr/>
      </w:pPr>
      <w:r>
        <w:rPr/>
        <w:t>1. Корректировку региональных «дорожных карт» в части установления соответствия показателей региональных «дорожных карт», показателям, установленным Государственной программой развития здравоохранения Российской Федерации и отраслевой «дорожной картой» (оцифрованные, по годам), а также корректировку показателей повышения заработной платы медицинских работников с учетом установления показателей на прогнозный год исходя из не снижения абсолютного (в рублях) уровня заработной платы, достигнутого в предшествующем году, если показатель региональной «дорожной карты» в предшествующем году превысил установленный Программой на прогнозный год.</w:t>
      </w:r>
    </w:p>
    <w:p>
      <w:pPr>
        <w:pStyle w:val="TextBody"/>
        <w:rPr/>
      </w:pPr>
      <w:r>
        <w:rPr/>
        <w:t>Если в региональной «дорожной карте» показатель ниже установленного Программой, принимается показатель установленный региональной «дорожной картой» при условии достижения показателя, установленных Указом Президента № 597 в 2017 г.</w:t>
      </w:r>
    </w:p>
    <w:p>
      <w:pPr>
        <w:pStyle w:val="TextBody"/>
        <w:rPr/>
      </w:pPr>
      <w:r>
        <w:rPr/>
        <w:t>2. Включение дополнительных показателей, отражающих достижение структурных преобразований системы оказания медицинской помощи, в том числе оптимального использования коечного фонда и развития «стационарозамещающих» технологий, обеспечивающих рациональное расходование (использование) материальных и кадровых ресурсов.</w:t>
      </w:r>
    </w:p>
    <w:p>
      <w:pPr>
        <w:pStyle w:val="TextBody"/>
        <w:rPr/>
      </w:pPr>
      <w:r>
        <w:rPr/>
        <w:t>Для этого в региональных «дорожных картах» следует актуализировать такие показатели как число дней работы койки в году, среднюю длительность лечения больного в стационаре и др, а также включить такие показатели как число коек круглосуточных стационаров (абс.), число коек дневных стационаров (абс.), из них: в амбулаторно-поликлинических учреждениях (абс.) и др.</w:t>
      </w:r>
    </w:p>
    <w:p>
      <w:pPr>
        <w:pStyle w:val="TextBody"/>
        <w:rPr/>
      </w:pPr>
      <w:r>
        <w:rPr/>
        <w:t>3. Уточнение потребности в дополнительных ресурсах на повышение заработной платы медицинских работников, а также корректировку принципов распределения средств на повышение оплаты труда определенных категорий работников сферы здравоохранения с учетом типов учреждений, видов и объемов оказываемых ими услуг.</w:t>
      </w:r>
    </w:p>
    <w:p>
      <w:pPr>
        <w:pStyle w:val="TextBody"/>
        <w:rPr/>
      </w:pPr>
      <w:r>
        <w:rPr/>
        <w:t>Для этого в региональные «дорожные карты» следует включить предварительный анализ уровня и динамики заработной платы медицинских работников внутри соответствующих категорий, а также работников отрасли, повышение заработной платы которых не предусмотрено Указом Президента Российской Федерации от 7 мая 2012 г. № 597, в том числе в части дефицита/избытка кадров.</w:t>
      </w:r>
    </w:p>
    <w:p>
      <w:pPr>
        <w:pStyle w:val="TextBody"/>
        <w:rPr/>
      </w:pPr>
      <w:r>
        <w:rPr/>
        <w:t>При этом, рекомендуется не допускать отставания от установленных в отраслевой «дорожной карте» показателей заработной платы медицинских работников по одним категориям при превышении целевых показателей по другим категориям, предусмотрев меры по оптимизации динамики повышения заработной платы отдельных категорий работников.</w:t>
      </w:r>
    </w:p>
    <w:p>
      <w:pPr>
        <w:pStyle w:val="TextBody"/>
        <w:rPr/>
      </w:pPr>
      <w:r>
        <w:rPr/>
        <w:t>4. Меры по устранению диспропорций в оплате труда каждой категории медицинских работников, занятых в медицинских организациях субъектов Российской Федерации и в медицинских организациях органов местного самоуправления, а также диспропорцию в оплате труда медицинских работников, занятых в медицинских организациях и медицинских работников, занятых в организациях образования, культуры, социальной защиты.</w:t>
      </w:r>
    </w:p>
    <w:p>
      <w:pPr>
        <w:pStyle w:val="TextBody"/>
        <w:rPr/>
      </w:pPr>
      <w:r>
        <w:rPr/>
        <w:t>5. Конкретные мероприятия по оптимизации неэффективных расходов (включая стоимостную оценку), в том числе на оплату труда вспомогательного и административно-управленческого персонала (с учетом предельной доли расходов на оплату их труда в фонде оплаты труда учреждения - не более 40 процентов) за счет передачи неключевых функций (бухгалтерские службы, службы управления персоналом, службы эксплуатации) аутсорсерам, сокращения неэффективных организаций, увеличения доходов от платных услуг, с целью привлечения средств на повышение заработной платы медицинским работникам.</w:t>
      </w:r>
    </w:p>
    <w:p>
      <w:pPr>
        <w:pStyle w:val="TextBody"/>
        <w:rPr/>
      </w:pPr>
      <w:r>
        <w:rPr/>
        <w:t>6. Внедрение показателей эффективности деятельности основных категорий работников в соответствии с методическими рекомендациями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учреждений, их руководителей и работников по видам учреждений и основным категориям работникам, утвержденных приказом Минздрава России от 28 июня 2013 года № 421 и заключение трудовых договоров в соответствии с примерной формой трудового договора («эффективный контракт»), приведенной в приложении № 3 к Программе.</w:t>
      </w:r>
    </w:p>
    <w:p>
      <w:pPr>
        <w:pStyle w:val="TextBody"/>
        <w:rPr/>
      </w:pPr>
      <w:r>
        <w:rPr/>
        <w:t>В том числе предусмотрев проведение оценки уровня соответствия занимаемой должности или выполняемой работе (аттестации) специалистов с последующим их переводом на «эффективный контракт» в соответствии с рекомендациями, утвержденными приказом Минтруда России от 26 апреля 2013 г. № 167н «Об утверждении рекомендаций по оформлению трудовых отношений с работником государственного (муниципального) учреждения при введении «эффективного контракта». Для этого на уровне организаций необходимо: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провести разъяснительную работу среди коллектива, учитывая, что 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может повлечь расторжение трудового договора по инициативе работодателя;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создать аттестационную комиссию с обязательным включением в нее представителя выборного органа соответствующей первичной профсоюзной организации;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определить категории специалистов, которые не подлежат аттестации (беременные женщины, лица, находящиеся в отпуске по уходу за ребенком до достижения им возраста 3 лет, специалисты, отработавшие в организации (на занимаемой должности) менее года, лица, вышедшие на работу после длительного перерыва и др.);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порядок проведения аттестации, включая план-график проведения аттестации по категориям работников и (или) структурным подразделениям, «пакет» документов представляемых аттестационной комиссии;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провести аттестацию специалистов;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принять необходимые меры по устранению, выявленных в ходе проведения аттестации недостатков. </w:t>
      </w:r>
    </w:p>
    <w:p>
      <w:pPr>
        <w:pStyle w:val="TextBody"/>
        <w:rPr/>
      </w:pPr>
      <w:r>
        <w:rPr/>
        <w:t>В ходе подготовки и проведения аттестации специалистов должна быть проделана следующая работа: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проведена проверка соответствия должностных обязанностей, определенных трудовым договором (должностей инструкцией) и фактически исполняемых трудовых обязанностей работника. Выявленные неточности должны быть устранены при последующем переводе работника на «эффективный контракт».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проведена проверка соответствия квалификации работника, требуемой квалификации для выполнения должностных обязанностей. По итогам проверки, в частности, может быть принято решение о направления работника на повышение квалификации.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проведена проверка выполнения работником показателей эффективности деятельности, как установленных в организации, так и планируемых к введению при переводе работника на «эффективный контракт». </w:t>
      </w:r>
    </w:p>
    <w:p>
      <w:pPr>
        <w:pStyle w:val="TextBody"/>
        <w:rPr/>
      </w:pPr>
      <w:r>
        <w:rPr/>
        <w:t>Указанные мероприятия также должны включать периодические рассмотрения лучших практик формирования систем стимулирования в рамках «эффективного контракта» для последующего их тиражирования.</w:t>
      </w:r>
    </w:p>
    <w:p>
      <w:pPr>
        <w:pStyle w:val="TextBody"/>
        <w:rPr/>
      </w:pPr>
      <w:r>
        <w:rPr/>
        <w:t>Также следует предусмотреть внедрение систем нормирования труда в учреждениях здравоохранения с учетом методических рекомендаций, утвержденных приказом Минтруда России от 30 сентября 2013 г. № 504, в том числе, учитывая, что в соответствии со статьей 159 Трудового кодекса Российской Федерации, системы нормирования труда определяются работодателем с учетом мнения представительного органа работников или устанавливаются коллективным договором.</w:t>
      </w:r>
    </w:p>
    <w:p>
      <w:pPr>
        <w:pStyle w:val="TextBody"/>
        <w:rPr/>
      </w:pPr>
      <w:r>
        <w:rPr/>
        <w:t>Устанавливаемые при этом нормы труда должны соответствовать достигнутому уровню техники, технологии, организации производства и труда. Системы нормирования труда в учреждениях здравоохранения направлены на:</w:t>
      </w:r>
    </w:p>
    <w:p>
      <w:pPr>
        <w:pStyle w:val="TextBody"/>
        <w:rPr/>
      </w:pPr>
      <w:r>
        <w:rPr/>
        <w:t>создание условий, необходимых для внедрения рациональных организационных, технологических и трудовых процессов, улучшения организации труда;</w:t>
      </w:r>
    </w:p>
    <w:p>
      <w:pPr>
        <w:pStyle w:val="TextBody"/>
        <w:rPr/>
      </w:pPr>
      <w:r>
        <w:rPr/>
        <w:t>обеспечение нормального уровня напряженности (интенсивности) труда при выполнении работ (оказании государственных (муниципальных) услуг);</w:t>
      </w:r>
    </w:p>
    <w:p>
      <w:pPr>
        <w:pStyle w:val="TextBody"/>
        <w:rPr/>
      </w:pPr>
      <w:r>
        <w:rPr/>
        <w:t>повышение эффективности обслуживания потребителей государственных (муниципальных) услуг.</w:t>
      </w:r>
    </w:p>
    <w:p>
      <w:pPr>
        <w:pStyle w:val="TextBody"/>
        <w:rPr/>
      </w:pPr>
      <w:r>
        <w:rPr/>
        <w:t>7. Мероприятия по организации в 2014 году подготовки к внедрению с 2016 года профессиональных стандартов с проведением мероприятий</w:t>
        <w:br/>
        <w:t>по повышению квалификации и переподготовке работников сферы здравоохранения, с целью обеспечения соответствия работников современным квалификационным требованиям, в том числе, работников государственных учреждений, занимающихся вопросами трудовых отношений и оплаты труда работников.</w:t>
      </w:r>
    </w:p>
    <w:p>
      <w:pPr>
        <w:pStyle w:val="TextBody"/>
        <w:rPr/>
      </w:pPr>
      <w:r>
        <w:rPr/>
        <w:t>Во избежание социальной напряженности в трудовых коллективах при отборе кандидатов для перевода на «эффективный контакт», а также в целом по ситуации с повышением заработной платы по категориям медицинских работников в «дорожных картах» следует предусмотреть проведение разъяснительной работы с участием профсоюзных организаций в трудовых коллективах о мероприятиях, реализуемых в рамках региональных «дорожных карт».</w:t>
      </w:r>
    </w:p>
    <w:p>
      <w:pPr>
        <w:pStyle w:val="TextBody"/>
        <w:rPr/>
      </w:pPr>
      <w:r>
        <w:rPr/>
        <w:t>8. Внедрение нормативного подушевого финансирования.</w:t>
      </w:r>
    </w:p>
    <w:p>
      <w:pPr>
        <w:pStyle w:val="TextBody"/>
        <w:rPr/>
      </w:pPr>
      <w:r>
        <w:rPr/>
        <w:t>9. Контроль за выполнением в полном объеме мер по созданию прозрачного механизма оплаты труда руководителей государственных (муниципальных) учреждений (Федеральный закон от 29.12.2012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характера»), включая представление ими сведений о доходах и имуществе и размещение их в системе Интернет, а также заключение дополнительных соглашений к трудовым договорам с руководителями учреждений (трудовых договоров для вновь назначаемых руководителей) по типовой форме, утвержденной постановлением Правительства Российской Федерации от 12 апреля 2013 г. № 329. Также следует предусмотреть соблюдение установленных соотношений средней заработной платы руководителя учреждения и средней заработной платы работников учреждений.</w:t>
      </w:r>
    </w:p>
    <w:p>
      <w:pPr>
        <w:pStyle w:val="TextBody"/>
        <w:rPr/>
      </w:pPr>
      <w:r>
        <w:rPr/>
        <w:t>10. Включение показателей независимой системы оценки качества работы медицинских организаций, оказывающих услуги в сфере здравоохранения, в целях формирования независимой системы оценки качества работы медицинских организаций, таких как «Обеспечение функционирования независимой системы оценки качества работы медицинских организаций» в соответствии с приказом Минздрава России от 31 октября 2013 г. № 810а; «Обеспечение мониторинга проведения независимой оценки качества работы медицинских организаций на региональном уровне» в соответствии с приказом Минздрава России от 31 октября 2013 г. № 810а.</w:t>
      </w:r>
    </w:p>
    <w:p>
      <w:pPr>
        <w:pStyle w:val="TextBody"/>
        <w:rPr/>
      </w:pPr>
      <w:r>
        <w:rPr/>
        <w:t>Минздравом России в целях обеспечения единых подходов к формированию независимой системы оценки качества работы государственных (муниципальных) учреждений, оказывающих услуги в сфере здравоохранения принят приказ от 31 октября 2013 г. № 810а «Об организации работы по формированию независимой системы оценки качества работы государственных (муниципальных) учреждений, оказывающих услуги в сфере здравоохранения» (далее - приказ Минздрава России от 31 октября 2013 г. № 810а).</w:t>
      </w:r>
    </w:p>
    <w:p>
      <w:pPr>
        <w:pStyle w:val="TextBody"/>
        <w:rPr/>
      </w:pPr>
      <w:r>
        <w:rPr/>
        <w:t>В соответствии с данным приказом, основной задачей проведения независимой оценки качества является оценка потребителями услуг качества работы медицинских организаций. Проведение независимой оценки качества направлено на обеспечение потребителей услуг дополнительной информацией о качестве работы медицинской организации, определение результативности деятельности медицинской организации и принятие своевременных мер по повышению эффективности ее деятельности, своевременное выявление негативных факторов, влияющих на качество предоставления услуг в сфере здравоохранения, а также стимулирование руководителей и работников медицинских организаций.</w:t>
      </w:r>
    </w:p>
    <w:p>
      <w:pPr>
        <w:pStyle w:val="TextBody"/>
        <w:rPr/>
      </w:pPr>
      <w:r>
        <w:rPr/>
        <w:t>В соответствии с приказом Минздрава России от 31 октября 2013 г. № 810а организацию проведения независимой оценки качества в субъекте Российской Федерации осуществляет орган государственной власти субъекта Российской Федерации в сфере охраны здоровья, на который возлагаются следующие функции: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общее организационное обеспечение проведения независимой оценки качества;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мониторинг проведения независимой оценки на региональном уровне;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обеспечение технической возможности выражения мнений потребителями услуг в сфере здравоохранения о работе медицинских организаций и удовлетворенности качеством обслуживания в медицинской организации на официальном сайте учредителя в сети «Интернет», а также на официальных сайтах медицинских организаций, находящихся в ведении учредителя.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