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28 мая 2014 г.</w:t>
      </w:r>
    </w:p>
    <w:p>
      <w:pPr>
        <w:pStyle w:val="Heading2"/>
        <w:rPr/>
      </w:pPr>
      <w:r>
        <w:rPr/>
        <w:t>«О результатах мониторинга социально-экономического положения граждан пожилого возраста»</w:t>
      </w:r>
    </w:p>
    <w:p>
      <w:pPr>
        <w:pStyle w:val="TextBody"/>
        <w:rPr/>
      </w:pPr>
      <w:r>
        <w:rPr/>
        <w:t>Информация о результатах мониторинга социально-экономического положения граждан пожилого возраста</w:t>
      </w:r>
    </w:p>
    <w:p>
      <w:pPr>
        <w:pStyle w:val="TextBody"/>
        <w:rPr/>
      </w:pPr>
      <w:r>
        <w:rPr>
          <w:rStyle w:val="StrongEmphasis"/>
        </w:rPr>
        <w:t>Демографическая ситуация, характеризующая пожилых людей в России в 2013 году</w:t>
      </w:r>
    </w:p>
    <w:p>
      <w:pPr>
        <w:pStyle w:val="TextBody"/>
        <w:rPr/>
      </w:pPr>
      <w:r>
        <w:rPr/>
        <w:t>По состоянию на 1 января 2013 года, численность пожилых людей (женщин старше 55 лет, мужчин старше 60 лет) в Российской Федерации составила 33 099 600 тыс. человек, что составляет 23,1% населения страны (рост по сравнению с 2012 годом на 0,5%). В разрезе субъектов Российской Федерации максимальный удельный вес пожилых граждан по-прежнему сохраняется в Тульской и Рязанской областях (28,6% и 28,1%), минимальный – в Ямало-Ненецком автономном округе, Чеченской Республике (8,3% и 8,5%, соответственно).</w:t>
      </w:r>
    </w:p>
    <w:p>
      <w:pPr>
        <w:pStyle w:val="TextBody"/>
        <w:rPr/>
      </w:pPr>
      <w:r>
        <w:rPr/>
        <w:t>Коэффициент смертности в возрасте старше трудоспособного в Российской Федерации на начало 2013 года составлял 42,2 человека на 1000 человек населения соответствующего возраста, что на 0,7 промилле ниже, чем за этот период 2012 года (42,9 человек).</w:t>
      </w:r>
    </w:p>
    <w:p>
      <w:pPr>
        <w:pStyle w:val="TextBody"/>
        <w:rPr/>
      </w:pPr>
      <w:r>
        <w:rPr/>
        <w:t>Самая высокая смертность пожилых людей на этот период остается в Псковской и в Тверской областях (53,3 и 50,8 промилле, соответственно), самая низкая – в Республике Ингушетия и Ямало-Ненецком автономном округе (23,7 и 24,5 промилле, соответственно).</w:t>
      </w:r>
    </w:p>
    <w:p>
      <w:pPr>
        <w:pStyle w:val="TextBody"/>
        <w:rPr/>
      </w:pPr>
      <w:r>
        <w:rPr/>
        <w:t>Ожидаемая продолжительность предстоящей жизни для лиц, достигших возраста старше трудоспособного, составила на 1 января 2013 года 15,38 года у мужчин и 25,05 года у женщин (в 2012 году – 15,14 и 24,85 года соответственно). Максимальные значения данных показателей зафиксированы в Республике Ингушетия (21,06 года и 28,35 года, соответственно) и г. Москва (20,15 года и 27,81 года, соответственно), минимальное – в Магаданской области (12,33 года у мужчин) и в Чукотском автономном округе (19,7 года у женщин).</w:t>
      </w:r>
    </w:p>
    <w:p>
      <w:pPr>
        <w:pStyle w:val="TextBody"/>
        <w:rPr/>
      </w:pPr>
      <w:r>
        <w:rPr/>
        <w:t>Таким образом, за последний год в целом по Российской Федерации отмечается дальнейшее увеличение удельного веса пожилых граждан в общей численности населения, увеличение ожидаемой продолжительности предстоящей жизни лиц, достигших возраста старше трудоспособного, сокращение уровня смертности и улучшение на этой основе демографической ситуации в стране.</w:t>
      </w:r>
    </w:p>
    <w:p>
      <w:pPr>
        <w:pStyle w:val="TextBody"/>
        <w:rPr/>
      </w:pPr>
      <w:r>
        <w:rPr>
          <w:rStyle w:val="StrongEmphasis"/>
        </w:rPr>
        <w:t>Материальное обеспечение пожилых людей</w:t>
      </w:r>
    </w:p>
    <w:p>
      <w:pPr>
        <w:pStyle w:val="TextBody"/>
        <w:rPr/>
      </w:pPr>
      <w:r>
        <w:rPr/>
        <w:t>В 2013 году было продолжено проведение мероприятий, направленных на повышение общего уровня пенсионного обеспечения.</w:t>
      </w:r>
    </w:p>
    <w:p>
      <w:pPr>
        <w:pStyle w:val="TextBody"/>
        <w:rPr/>
      </w:pPr>
      <w:r>
        <w:rPr/>
        <w:t>Так, в 2013 году трудовые пенсии проиндексированы дважды.</w:t>
      </w:r>
    </w:p>
    <w:p>
      <w:pPr>
        <w:pStyle w:val="TextBody"/>
        <w:rPr/>
      </w:pPr>
      <w:r>
        <w:rPr/>
        <w:t>В частности, с 1 февраля 2013 года в соответствии с постановлением Правительства Российской Федерации от 23 января 2013 г. № 26 «Об утверждении коэффициента индексации размера страховой части трудовой пенсии по старости и размеров трудовой пенсии по инвалидности и трудовой пенсии по случаю потери кормильца» трудовые пенсии проиндексированы на 6,6 %.</w:t>
      </w:r>
    </w:p>
    <w:p>
      <w:pPr>
        <w:pStyle w:val="TextBody"/>
        <w:rPr/>
      </w:pPr>
      <w:r>
        <w:rPr/>
        <w:t>С 1 апреля 2013 года в соответствии с постановлением Правительства Российской Федерации от 27 марта 2013 г. № 264 «Об утверждении коэффициента дополнительного увеличения с 1 апреля 2013 г. размера страховой части трудовой пенсии по старости и размеров трудовой пенсии по инвалидности и трудовой пенсии по случаю потери кормильца» в размере 3,3%.</w:t>
      </w:r>
    </w:p>
    <w:p>
      <w:pPr>
        <w:pStyle w:val="TextBody"/>
        <w:rPr/>
      </w:pPr>
      <w:r>
        <w:rPr/>
        <w:t>Социальные пенсии увеличены на коэффициент индексации в размере 1,8% в соответствии с постановлением Правительства Российской Федерации от 29 марта 2013 г. № 281 «Об утверждении коэффициента индексации с 1 апреля 2013 г. социальных пенсий».</w:t>
      </w:r>
    </w:p>
    <w:p>
      <w:pPr>
        <w:pStyle w:val="TextBody"/>
        <w:rPr/>
      </w:pPr>
      <w:r>
        <w:rPr/>
        <w:t>Средний размер пенсии, назначенной в номинальном выражении пенсионерам, состоящим на учете в системе Пенсионного фонда Российской Федерации, с 9 153,51 рубля в месяц на 1 января 2013 года увеличился на 8,7% и на 1 января 2014 года составил 10 029,56 рубля в месяц.</w:t>
      </w:r>
    </w:p>
    <w:p>
      <w:pPr>
        <w:pStyle w:val="TextBody"/>
        <w:rPr/>
      </w:pPr>
      <w:r>
        <w:rPr/>
        <w:t>Диапазон средних значений размера назначенной пенсии в региональном разрезе варьируется от 7 793,49 рубля в месяц в Республике Дагестан до 18561,76 рубля в Чукотском автономном округе.</w:t>
      </w:r>
    </w:p>
    <w:p>
      <w:pPr>
        <w:pStyle w:val="TextBody"/>
        <w:rPr/>
      </w:pPr>
      <w:r>
        <w:rPr/>
        <w:t>Среднемесячная номинальная начисленная заработная плата работников в целом по Российской Федерации составила 29 960 рублей в месяц и варьируется от 17 135 рублей в месяц в Республике Дагестан, до 70 191 рубля в месяц в Чукотском автономном округе.</w:t>
      </w:r>
    </w:p>
    <w:p>
      <w:pPr>
        <w:pStyle w:val="TextBody"/>
        <w:rPr/>
      </w:pPr>
      <w:r>
        <w:rPr/>
        <w:t>Таким образом, коэффициент замещения пенсией утраченного заработка в среднем по Российской Федерации (показатель соотнесения средней пенсии с размером средней зарплаты) в среднем равен 30,5 %.</w:t>
      </w:r>
    </w:p>
    <w:p>
      <w:pPr>
        <w:pStyle w:val="TextBody"/>
        <w:rPr/>
      </w:pPr>
      <w:r>
        <w:rPr/>
        <w:t>Величина прожиточного минимума пенсионера в целом по Российской Федерации в III квартале 2013 г. составила 6 097 рублей в месяц, что на 974 рубля выше, чем 2012 году (5 123 рубля в месяц). Наибольшая величина прожиточного минимума пенсионера в 2013 году зафиксирована в Ненецком автономном округе и Камчатском крае – 12 754 рубля в месяц и 11 595 рублей в месяц, соответственно. Минимальная величина прожиточного минимума пенсионера зафиксирована в Тамбовской области и Липецкой области (4 004 и 4 876 рублей в месяц, соответственно).</w:t>
      </w:r>
    </w:p>
    <w:p>
      <w:pPr>
        <w:pStyle w:val="TextBody"/>
        <w:rPr/>
      </w:pPr>
      <w:r>
        <w:rPr/>
        <w:t>Исходя из структуры величины прожиточного минимума, 50,3% расходов пенсионеров составляют расходы на продукты питания, 24,9% – расходы на непродовольственные товары, 24,8% - расходы на услуги.</w:t>
      </w:r>
    </w:p>
    <w:p>
      <w:pPr>
        <w:pStyle w:val="TextBody"/>
        <w:rPr/>
      </w:pPr>
      <w:r>
        <w:rPr/>
        <w:t>Повышению материального обеспечения граждан пожилого возраста способствуют социальные доплаты к пенсии.</w:t>
      </w:r>
    </w:p>
    <w:p>
      <w:pPr>
        <w:pStyle w:val="TextBody"/>
        <w:rPr/>
      </w:pPr>
      <w:r>
        <w:rPr/>
        <w:t>Величина прожиточного минимума пенсионера в целях установления социальной доплаты к пенсии на 2014 год в целом по Российской Федерации составила 6 354 рубля в месяц, что на 223 рубля выше, чем в 2013 году (6 131 рубль в месяц).</w:t>
      </w:r>
    </w:p>
    <w:p>
      <w:pPr>
        <w:pStyle w:val="TextBody"/>
        <w:rPr/>
      </w:pPr>
      <w:r>
        <w:rPr/>
        <w:t>Федеральная социальная доплата к пенсии в 2013 году была установлена 1 302 400 лицам пожилого возраста (в 2013 году ее получателями являлись 1 320 118 человек), ее размер в среднем по Российской Федерации составил 924,95 рубля (в 2011 году - 909,54 рублей). Максимальный размер федеральной социальной доплаты к пенсии в 2013 году был назначен в Пермском крае и Красноярском крае (1 720,52 рубля и 1 621,81 рубля в месяц, соответственно), минимальный – в Чувашской республике и Саратовской области (405,16 рубля и 480,54 рубля в месяц, соответственно).</w:t>
      </w:r>
    </w:p>
    <w:p>
      <w:pPr>
        <w:pStyle w:val="TextBody"/>
        <w:rPr/>
      </w:pPr>
      <w:r>
        <w:rPr/>
        <w:t>В 2013 году в 18 субъектах Российской Федерации установлена региональная социальная доплата к пенсии 1 930 794 лицам пожилого возраста (в 2012 году – 1 898 843 лицам пожилого возраста), ее размер в среднем по Российской Федерации составил в среднем 3 560,62 рубля в месяц.</w:t>
      </w:r>
    </w:p>
    <w:p>
      <w:pPr>
        <w:pStyle w:val="TextBody"/>
        <w:rPr/>
      </w:pPr>
      <w:r>
        <w:rPr/>
        <w:t>Максимальный средний размер региональной социальной доплаты к пенсии в 2013 году зафиксирован в Ненецком автономном округе и г. Москве (3 963,74 рубля и 3 758,45 рубля в месяц, соответственно), минимальный – в Республике Коми и Ханты-Мансийском автономном округе (882,98 и 897,18 рубля в месяц, соответственно).</w:t>
      </w:r>
    </w:p>
    <w:p>
      <w:pPr>
        <w:pStyle w:val="TextBody"/>
        <w:rPr/>
      </w:pPr>
      <w:r>
        <w:rPr/>
        <w:t>Важной составной частью формирования доходов пожилого населения являются законодательно закрепленные меры социальной поддержки, в том числе ежемесячные денежные выплаты (далее - ЕДВ), предоставляемые в зависимости от принадлежности гражданина к той или иной категории, наделенной особым правовым статусом.</w:t>
      </w:r>
    </w:p>
    <w:p>
      <w:pPr>
        <w:pStyle w:val="TextBody"/>
        <w:rPr/>
      </w:pPr>
      <w:r>
        <w:rPr/>
        <w:t>Численность лиц, которым установлена ЕДВ, возраст которых достиг 55 лет у женщин и 60 лет у мужчин, в целом по Российской Федерации на 1 января 2014 года составила 9 289 808 человек (в 2012 году – 9 427 900 человек), ее размер в среднем по Российской Федерации составил 1 915,99 рубля. Средний размер ЕДВ в 2013 году по сравнению с 2012 годом увеличился на 4,5%. Получателями ЕДВ в стране являются 28% пожилых людей из числа «федеральных льготников» от численности всего пожилого населения Российской Федерации.</w:t>
      </w:r>
    </w:p>
    <w:p>
      <w:pPr>
        <w:pStyle w:val="TextBody"/>
        <w:rPr/>
      </w:pPr>
      <w:r>
        <w:rPr/>
        <w:t>Уменьшение численности пожилых людей из числа федеральных льготников - получателей ЕДВ на 1,5% обусловлено естественной убылью инвалидов Великой Отечественной войны, участников Великой Отечественной войны (имеющих инвалидность), бывших несовершеннолетних узников и других граждан, соответствующих этой категории льготников.</w:t>
      </w:r>
    </w:p>
    <w:p>
      <w:pPr>
        <w:pStyle w:val="TextBody"/>
        <w:rPr/>
      </w:pPr>
      <w:r>
        <w:rPr>
          <w:rStyle w:val="StrongEmphasis"/>
        </w:rPr>
        <w:t>Заболеваемость, медицинская помощь пожилым людям</w:t>
      </w:r>
    </w:p>
    <w:p>
      <w:pPr>
        <w:pStyle w:val="TextBody"/>
        <w:rPr/>
      </w:pPr>
      <w:r>
        <w:rPr/>
        <w:t>Показатель общей заболеваемости населения старше трудоспособного возраста в Российской Федерации в 2013 году уменьшился на 339 человек на 100 тыс. человек населения соответствующего возраста и составил 208 228,9 человека на 100 тыс. человек населения (в 2012 году - 208 567,9 человека, соответственно).</w:t>
      </w:r>
    </w:p>
    <w:p>
      <w:pPr>
        <w:pStyle w:val="TextBody"/>
        <w:rPr/>
      </w:pPr>
      <w:r>
        <w:rPr/>
        <w:t>В разрезе субъектов Российской Федерации в 2013 году наиболее высокий уровень заболеваемости на 100 тыс. человек населения соответствующего возраста зафиксирован в Ненецком автономном округе, Республике Ингушетия и в Алтайском крае (402 547,8 человека, 398 192,5 человека и 375 197,1 человека, соответственно), низкий – в Республике Тыва (126 723,9 человека).</w:t>
      </w:r>
    </w:p>
    <w:p>
      <w:pPr>
        <w:pStyle w:val="TextBody"/>
        <w:rPr/>
      </w:pPr>
      <w:r>
        <w:rPr/>
        <w:t>Под диспансерным наблюдением в 2013 году находилось, в среднем, по Российской Федерации 55 706,7 человека на 100 тыс. человек соответствующего возраста (в 2012 году 55 418,9 человека, соответственно). Наиболее высокое значение данного показателя зафиксирован в Республике Ингушетия, Алтайском крае (224 757,7 человека, 156 961,2 человека, соответственно), минимальный – в Нижегородской области и Ставропольском крае (35 798,0 человек и 36 186,3 человека, соответственно).</w:t>
      </w:r>
    </w:p>
    <w:p>
      <w:pPr>
        <w:pStyle w:val="TextBody"/>
        <w:rPr/>
      </w:pPr>
      <w:r>
        <w:rPr/>
        <w:t>Уровень госпитализации лиц старше трудоспособного возраста в Российской Федерации в 2013 году составил 27,7%. Высокий уровень этого показателя зафиксирован в Республиках Ингушетия и Саха – (Якутия) (43,8% и 42,5%, соответственно), минимальный в Республике Калмыкия и Еврейской автономной области (21,7% и 22,6%, соответственно).</w:t>
      </w:r>
    </w:p>
    <w:p>
      <w:pPr>
        <w:pStyle w:val="TextBody"/>
        <w:rPr/>
      </w:pPr>
      <w:r>
        <w:rPr/>
        <w:t>Показатель, характеризующий долю лиц старше трудоспособного возраста, доставленных в стационар по экстренным показаниям, в 2013 году по Российской Федерации по сравнению с 2012 годом не изменился и составил 40,0%. Наиболее высокое значение этого показателя в 2013 году зафиксировано в Приморском крае и Кемеровской области (59,0%, 58,8% соответственно), наиболее низкое - в Чеченской Республике и Республике Ингушетия (11,0% и 17,5%).</w:t>
      </w:r>
    </w:p>
    <w:p>
      <w:pPr>
        <w:pStyle w:val="TextBody"/>
        <w:rPr/>
      </w:pPr>
      <w:r>
        <w:rPr/>
        <w:t>Вышеперечисленное свидетельствует о значительных региональных различиях в уровнях медицинского обслуживания пожилых людей, оказывающих, при прочих равных условиях, влияние на состояние их здоровья и продолжительность жизни, что требует принятия ряда системных решений.</w:t>
      </w:r>
    </w:p>
    <w:p>
      <w:pPr>
        <w:pStyle w:val="TextBody"/>
        <w:rPr/>
      </w:pPr>
      <w:r>
        <w:rPr>
          <w:rStyle w:val="StrongEmphasis"/>
        </w:rPr>
        <w:t>Занятость пожилых людей</w:t>
      </w:r>
    </w:p>
    <w:p>
      <w:pPr>
        <w:pStyle w:val="TextBody"/>
        <w:rPr/>
      </w:pPr>
      <w:r>
        <w:rPr/>
        <w:t>В 2013 году уровень занятости населения старше трудоспособного возраста, по данным Росстата, составил в целом по Российской Федерации 29,2%, что на 1,5 пункта выше, чем в 2012 году (27,7%). Уровень общей безработицы, по данным выборочного обследования населения по проблемам занятости, данной возрастной группы в 2013 году увеличился на 0,4% и составил 3,1% (в 2012 году – 2,7%).</w:t>
      </w:r>
    </w:p>
    <w:p>
      <w:pPr>
        <w:pStyle w:val="TextBody"/>
        <w:rPr/>
      </w:pPr>
      <w:r>
        <w:rPr/>
        <w:t>Наиболее высокий уровень занятости пожилого населения в 2013 году (по данным выборочного обследования населения по проблемам занятости) зафиксирован в Чукотском автономном округе и Магаданской области (67,5%, 55,3%), низкий уровень занятости – в Республике Башкортостан и Алтайском крае (19,3% и 19,7%).</w:t>
      </w:r>
    </w:p>
    <w:p>
      <w:pPr>
        <w:pStyle w:val="TextBody"/>
        <w:rPr/>
      </w:pPr>
      <w:r>
        <w:rPr/>
        <w:t>В 2013 году за содействием в поиске подходящей работы в органы службы занятости субъектов Российской Федерации обратилось 4211,0 тыс. человек, в том числе:</w:t>
      </w:r>
    </w:p>
    <w:p>
      <w:pPr>
        <w:pStyle w:val="TextBody"/>
        <w:rPr/>
      </w:pPr>
      <w:r>
        <w:rPr/>
        <w:t>205,4 тыс. человек – граждане предпенсионного возраста (4,9% от численности всех обратившихся; в аналогичном периоде 2012 года – 217,3 тыс. человек или 4,8%), из которых нашли работу 96,7 тыс. человек или 47,1% от численности граждан предпенсионного возраста, обратившихся за содействием в поиске подходящей работы (в аналогичном периоде 2012 года – 100,3 тыс. человек или 46,2%);</w:t>
      </w:r>
    </w:p>
    <w:p>
      <w:pPr>
        <w:pStyle w:val="TextBody"/>
        <w:rPr/>
      </w:pPr>
      <w:r>
        <w:rPr/>
        <w:t>161,5 тыс. человек – граждане пенсионного возраста (3,8% от численности всех обратившихся; в аналогичном периоде 2012 года – 148,6 тыс. человек или 3,3%), из которых нашли работу 84,5 тыс. человек или 52,3% от численности граждан пенсионного возраста, обратившихся за содействием в поиске подходящей работы (в аналогичном периоде 2012 года – 74,3 тыс. человек или 50,0%).</w:t>
      </w:r>
    </w:p>
    <w:p>
      <w:pPr>
        <w:pStyle w:val="TextBody"/>
        <w:rPr/>
      </w:pPr>
      <w:r>
        <w:rPr/>
        <w:t>На конец декабря 2013 года на учёте в органах службы занятости субъектов Российской Федерации состояло 86,3 тыс. граждан предпенсионного возраста или 9,4% от общей численности граждан, состоящих на регистрационном учёте на конец отчётного периода (на конец декабря 2012 года – 96,6 тыс. человек или 9,1%).</w:t>
      </w:r>
    </w:p>
    <w:p>
      <w:pPr>
        <w:pStyle w:val="TextBody"/>
        <w:rPr/>
      </w:pPr>
      <w:r>
        <w:rPr/>
        <w:t>В январе-декабре 2013 года были предоставлены государственные услуги по:</w:t>
      </w:r>
    </w:p>
    <w:p>
      <w:pPr>
        <w:pStyle w:val="TextBody"/>
        <w:numPr>
          <w:ilvl w:val="0"/>
          <w:numId w:val="1"/>
        </w:numPr>
        <w:tabs>
          <w:tab w:val="left" w:pos="0" w:leader="none"/>
        </w:tabs>
        <w:spacing w:before="0" w:after="0"/>
        <w:ind w:left="707" w:hanging="283"/>
        <w:rPr/>
      </w:pPr>
      <w:r>
        <w:rPr/>
        <w:t xml:space="preserve">профессиональной ориентации в целях выбора сферы деятельности (профессии), трудоустройства, профессионального обучения 148,6 тыс. граждан предпенсионного возраста или 5,5% от общей численности получателей данной услуги (в аналогичном периоде 2012 года – 150,8 тыс. человек или 5,0%) и 35,3 тыс. граждан пенсионного возраста или 1,3% от общей численности получателей данной услуги (в аналогичном периоде </w:t>
      </w:r>
    </w:p>
    <w:p>
      <w:pPr>
        <w:pStyle w:val="TextBody"/>
        <w:numPr>
          <w:ilvl w:val="0"/>
          <w:numId w:val="1"/>
        </w:numPr>
        <w:tabs>
          <w:tab w:val="left" w:pos="0" w:leader="none"/>
        </w:tabs>
        <w:spacing w:before="0" w:after="0"/>
        <w:ind w:left="707" w:hanging="283"/>
        <w:rPr/>
      </w:pPr>
      <w:r>
        <w:rPr/>
        <w:t xml:space="preserve">2012 года – 25,8 тыс. человек или 0,9%); </w:t>
      </w:r>
    </w:p>
    <w:p>
      <w:pPr>
        <w:pStyle w:val="TextBody"/>
        <w:numPr>
          <w:ilvl w:val="0"/>
          <w:numId w:val="1"/>
        </w:numPr>
        <w:tabs>
          <w:tab w:val="left" w:pos="0" w:leader="none"/>
        </w:tabs>
        <w:spacing w:before="0" w:after="0"/>
        <w:ind w:left="707" w:hanging="283"/>
        <w:rPr/>
      </w:pPr>
      <w:r>
        <w:rPr/>
        <w:t xml:space="preserve">профессиональной подготовке, переподготовке, повышению квалификации 5,8 тыс. граждан предпенсионного возраста или 3,1% от общей численности обратившихся за оказанием данной услуги (в аналогичном периоде 2012 года – 5,6 тыс. человек или 2,5%); </w:t>
      </w:r>
    </w:p>
    <w:p>
      <w:pPr>
        <w:pStyle w:val="TextBody"/>
        <w:numPr>
          <w:ilvl w:val="0"/>
          <w:numId w:val="1"/>
        </w:numPr>
        <w:tabs>
          <w:tab w:val="left" w:pos="0" w:leader="none"/>
        </w:tabs>
        <w:ind w:left="707" w:hanging="283"/>
        <w:rPr/>
      </w:pPr>
      <w:r>
        <w:rPr/>
        <w:t xml:space="preserve">временному трудоустройству испытывающих трудности в поиске работы 19,8 тыс. граждан предпенсионного возраста или 28,3% от общей численности получателей данной услуги (в аналогичном периоде 2012 года – 22,2 тыс. человек или 27,4%). </w:t>
      </w:r>
    </w:p>
    <w:p>
      <w:pPr>
        <w:pStyle w:val="TextBody"/>
        <w:rPr/>
      </w:pPr>
      <w:r>
        <w:rPr/>
        <w:t>Для расширения возможностей обеспечения занятости граждан предпенсионного и пенсионного возраста в Российской Федерации в 2013 году Федеральным законом от 2 июля 2013 года № 162-ФЗ «О внесении изменений в Закон Российской Федерации «О занятости населения в Российской Федерации» и отдельные законодательные акты Российской Федерации» (далее – Федеральный закон № 162-ФЗ) внесены изменения в статьи 7.1.1. и 23 Закона Российской Федерации «О занятости населения в Российской Федерации» в части расширения полномочий региональных органов службы занятости путем наделения их правом направления на профессиональное обучение и дополнительное профессиональное образование по востребованным на рынке труда профессиям (специальностям)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w:t>
      </w:r>
    </w:p>
    <w:p>
      <w:pPr>
        <w:pStyle w:val="TextBody"/>
        <w:rPr/>
      </w:pPr>
      <w:r>
        <w:rPr/>
        <w:t>Порядок и условия направления незанятых граждан, которым в соответствии с законодательством Российской Федерации назначена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 а также порядок предоставления и размеры финансовой поддержки этих граждан при обучении в другой местности устанавливаются органами государственной власти субъектов Российской Федерации.</w:t>
      </w:r>
    </w:p>
    <w:p>
      <w:pPr>
        <w:pStyle w:val="TextBody"/>
        <w:rPr/>
      </w:pPr>
      <w:r>
        <w:rPr/>
        <w:t>Кроме того, Федеральным законом № 162-ФЗ введен запрет на распространение информации о свободных рабочих местах или вакантных должностях, содержащей ограничения дискриминационного характера. Кодекс Российской Федерации об административных правонарушениях дополнен статьей 13.11.1, устанавливающей административную ответственность в виде административного штрафа за распространение информации о свободных рабочих местах или вакантных должностях, содержащих ограничения дискриминационного характера. Должностные лица органов исполнительной власти субъектов Российской Федерации, осуществляющие полномочия в области содействия занятости населения, наделены правом составлять протоколы об административном правонарушении, предусмотренном статьей 13.11.1 указанного Кодекса.</w:t>
      </w:r>
    </w:p>
    <w:p>
      <w:pPr>
        <w:pStyle w:val="TextBody"/>
        <w:rPr/>
      </w:pPr>
      <w:r>
        <w:rPr/>
        <w:t>В связи с внесением изменений в статью 23 Закона Российской Федерации от 19 апреля 1991 г. № 1032-1 «О занятости населения в Российской Федерации» (Федеральный закон от 2 июля 2013 г. № 185 –ФЗ) в большинстве субъектов Российской Федерации внесены изменения в нормативные правовые акты, предусматривающие порядок и условия направления органами службы занятости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для прохождения профессионального обучения или получения дополнительного профессионального образования.</w:t>
      </w:r>
    </w:p>
    <w:p>
      <w:pPr>
        <w:pStyle w:val="TextBody"/>
        <w:rPr/>
      </w:pPr>
      <w:r>
        <w:rPr/>
        <w:t>По информации Минобрнауки России, наиболее востребованными программами среди граждан предпенсионного и пенсионного возраста, желающих продолжить трудовую деятельность, являются программы повышения квалификации и профессиональной переподготовки, направленные на:</w:t>
      </w:r>
    </w:p>
    <w:p>
      <w:pPr>
        <w:pStyle w:val="TextBody"/>
        <w:numPr>
          <w:ilvl w:val="0"/>
          <w:numId w:val="2"/>
        </w:numPr>
        <w:tabs>
          <w:tab w:val="left" w:pos="0" w:leader="none"/>
        </w:tabs>
        <w:spacing w:before="0" w:after="0"/>
        <w:ind w:left="707" w:hanging="283"/>
        <w:rPr/>
      </w:pPr>
      <w:r>
        <w:rPr/>
        <w:t xml:space="preserve">получение и повышение основ компьютерной грамотности и изучение информационных коммуникационных технологий; </w:t>
      </w:r>
    </w:p>
    <w:p>
      <w:pPr>
        <w:pStyle w:val="TextBody"/>
        <w:numPr>
          <w:ilvl w:val="0"/>
          <w:numId w:val="2"/>
        </w:numPr>
        <w:tabs>
          <w:tab w:val="left" w:pos="0" w:leader="none"/>
        </w:tabs>
        <w:spacing w:before="0" w:after="0"/>
        <w:ind w:left="707" w:hanging="283"/>
        <w:rPr/>
      </w:pPr>
      <w:r>
        <w:rPr/>
        <w:t xml:space="preserve">изучение основ социальной работы; </w:t>
      </w:r>
    </w:p>
    <w:p>
      <w:pPr>
        <w:pStyle w:val="TextBody"/>
        <w:numPr>
          <w:ilvl w:val="0"/>
          <w:numId w:val="2"/>
        </w:numPr>
        <w:tabs>
          <w:tab w:val="left" w:pos="0" w:leader="none"/>
        </w:tabs>
        <w:spacing w:before="0" w:after="0"/>
        <w:ind w:left="707" w:hanging="283"/>
        <w:rPr/>
      </w:pPr>
      <w:r>
        <w:rPr/>
        <w:t xml:space="preserve">изучение иностранных языков; </w:t>
      </w:r>
    </w:p>
    <w:p>
      <w:pPr>
        <w:pStyle w:val="TextBody"/>
        <w:numPr>
          <w:ilvl w:val="0"/>
          <w:numId w:val="2"/>
        </w:numPr>
        <w:tabs>
          <w:tab w:val="left" w:pos="0" w:leader="none"/>
        </w:tabs>
        <w:spacing w:before="0" w:after="0"/>
        <w:ind w:left="707" w:hanging="283"/>
        <w:rPr/>
      </w:pPr>
      <w:r>
        <w:rPr/>
        <w:t xml:space="preserve">получение новых знаний в сфере образования и здравоохранения; </w:t>
      </w:r>
    </w:p>
    <w:p>
      <w:pPr>
        <w:pStyle w:val="TextBody"/>
        <w:numPr>
          <w:ilvl w:val="0"/>
          <w:numId w:val="2"/>
        </w:numPr>
        <w:tabs>
          <w:tab w:val="left" w:pos="0" w:leader="none"/>
        </w:tabs>
        <w:spacing w:before="0" w:after="0"/>
        <w:ind w:left="707" w:hanging="283"/>
        <w:rPr/>
      </w:pPr>
      <w:r>
        <w:rPr/>
        <w:t xml:space="preserve">получение новых знаний в сфере бухгалтерского учета, управления персоналом; </w:t>
      </w:r>
    </w:p>
    <w:p>
      <w:pPr>
        <w:pStyle w:val="TextBody"/>
        <w:numPr>
          <w:ilvl w:val="0"/>
          <w:numId w:val="2"/>
        </w:numPr>
        <w:tabs>
          <w:tab w:val="left" w:pos="0" w:leader="none"/>
        </w:tabs>
        <w:ind w:left="707" w:hanging="283"/>
        <w:rPr/>
      </w:pPr>
      <w:r>
        <w:rPr/>
        <w:t xml:space="preserve">изучение основ экономики и права. </w:t>
      </w:r>
    </w:p>
    <w:p>
      <w:pPr>
        <w:pStyle w:val="TextBody"/>
        <w:rPr/>
      </w:pPr>
      <w:r>
        <w:rPr/>
        <w:t>Наибольшим спросом пользуются программы профессиональной подготовки и переподготовки по профессиям рабочих и должностям служащих, таких как: «Водитель транспортных средств», «Электросварщик», «Слесарь-сантехник», «Оператор электронно-вычислительных машин», «Повар», «Лифтер» «Продавец непродовольственных товаров», «Парикмахер» и др.</w:t>
      </w:r>
    </w:p>
    <w:p>
      <w:pPr>
        <w:pStyle w:val="TextBody"/>
        <w:rPr/>
      </w:pPr>
      <w:r>
        <w:rPr/>
        <w:t>В ряде субъектов Российской Федерации профессиональное обучение граждан пожилого возраста в 2013 году осуществлялось в рамках региональных целевых программ:</w:t>
      </w:r>
    </w:p>
    <w:p>
      <w:pPr>
        <w:pStyle w:val="TextBody"/>
        <w:numPr>
          <w:ilvl w:val="0"/>
          <w:numId w:val="3"/>
        </w:numPr>
        <w:tabs>
          <w:tab w:val="left" w:pos="0" w:leader="none"/>
        </w:tabs>
        <w:spacing w:before="0" w:after="0"/>
        <w:ind w:left="707" w:hanging="283"/>
        <w:rPr/>
      </w:pPr>
      <w:r>
        <w:rPr/>
        <w:t xml:space="preserve">в Республике Карелия – республиканской целевой программы «Старшее поколение» на 2011 – 2013 годы. В 2013 году направлено на обучение 53 безработных гражданина предпенсионного возраста. Из них 52 окончили обучение, в том числе 13 человек по рабочим профессиям; </w:t>
      </w:r>
    </w:p>
    <w:p>
      <w:pPr>
        <w:pStyle w:val="TextBody"/>
        <w:numPr>
          <w:ilvl w:val="0"/>
          <w:numId w:val="3"/>
        </w:numPr>
        <w:tabs>
          <w:tab w:val="left" w:pos="0" w:leader="none"/>
        </w:tabs>
        <w:spacing w:before="0" w:after="0"/>
        <w:ind w:left="707" w:hanging="283"/>
        <w:rPr/>
      </w:pPr>
      <w:r>
        <w:rPr/>
        <w:t xml:space="preserve">в Ярославской области – региональной программы «Социальная поддержка пожилых граждан Ярославской области на 2011-2015 годы». В 2013 году в 20 профессиональных образовательных учреждениях по 11 профессиям (специальностям) (оператор ЭВМ, оператор котельной установки, охранник, парикмахер, повар, бухгалтер, фельдшер, менеджер по персоналу, менеджер в общественном питании, сметчик, водитель автомобиля) прошли профессиональное обучение 346 человек из числа граждан предпенсионного и пенсионного возраста. </w:t>
      </w:r>
    </w:p>
    <w:p>
      <w:pPr>
        <w:pStyle w:val="TextBody"/>
        <w:numPr>
          <w:ilvl w:val="0"/>
          <w:numId w:val="3"/>
        </w:numPr>
        <w:tabs>
          <w:tab w:val="left" w:pos="0" w:leader="none"/>
        </w:tabs>
        <w:spacing w:before="0" w:after="0"/>
        <w:ind w:left="707" w:hanging="283"/>
        <w:rPr/>
      </w:pPr>
      <w:r>
        <w:rPr/>
        <w:t xml:space="preserve">в Ханты-Мансийском автономном округе – целевой программы округа «Содействие занятости населения на 2011-2013 годы и на период до 2015 года». В 2013 году из числа граждан предпенсионного и пенсионного возраста прошли профессиональное обучение по профессиям (специальностям), востребованным на рынке труда (продавец продовольственных товаров, продавец непродовольственных товаров, парикмахер, повар, бухгалтер, охранник, лаборант химического анализа, слесарь по контрольно-измерительным приборам и автоматике, менеджер по управлению персоналом) 109 человек. После завершения обучения 54 человека или 49,5% от числа проходящих обучение были трудоустроены. На реализацию указанного мероприятия израсходованы денежные средства в сумме 947,5 тыс. рублей. </w:t>
      </w:r>
    </w:p>
    <w:p>
      <w:pPr>
        <w:pStyle w:val="TextBody"/>
        <w:numPr>
          <w:ilvl w:val="0"/>
          <w:numId w:val="3"/>
        </w:numPr>
        <w:tabs>
          <w:tab w:val="left" w:pos="0" w:leader="none"/>
        </w:tabs>
        <w:ind w:left="707" w:hanging="283"/>
        <w:rPr/>
      </w:pPr>
      <w:r>
        <w:rPr/>
        <w:t xml:space="preserve">В Челябинской области профессиональное обучение граждан предпенсионого возраста в 2013 году осуществлялось в рамках реализации Федерального закона № 94-ФЗ «О размещении заказов на поставки товаров, выполнение работ, оказание услуг для государственных и муниципальных нужд» на базе металлургического колледжа г. Златоуста, политехнического техникума им. А.К.Савина г. Сатки, горно-экономического колледжа г. Копейска, машиностроительного колледжа г. Миасса, технологического техникума г. Троицка, технического колледжа г. Озерска, УМЦ областной службы занятости и других образовательных организаций области. За указанный период прошли профессиональное обучение по профессиям, востребованным на рынке труда, 91 человек из числа граждан предпенсионного возраста, из них 49 человек (53,8%) было трудоустроено после прохождения обучения. </w:t>
      </w:r>
    </w:p>
    <w:p>
      <w:pPr>
        <w:pStyle w:val="TextBody"/>
        <w:rPr/>
      </w:pPr>
      <w:r>
        <w:rPr/>
        <w:t>В условиях дефицита квалифицированных рабочих кадров и отсутствия достаточного притока молодежи на промышленные предприятия в субъектах Российской Федерации в последнее время активизировалась организация внутрифирменного профессионального обучения работников предпенсионного и пенсионного возраста для продолжения трудовой деятельности на имеющихся, а также на вновь образуемых рабочих местах.</w:t>
      </w:r>
    </w:p>
    <w:p>
      <w:pPr>
        <w:pStyle w:val="TextBody"/>
        <w:rPr/>
      </w:pPr>
      <w:r>
        <w:rPr/>
        <w:t>Так, внутрифирменное обучение работников предпенсионного и пенсионного возраста в 2013 году осуществлялось в организациях Орловской области.</w:t>
      </w:r>
    </w:p>
    <w:p>
      <w:pPr>
        <w:pStyle w:val="TextBody"/>
        <w:rPr/>
      </w:pPr>
      <w:r>
        <w:rPr/>
        <w:t>Обучение проводилось с отрывом и без отрыва от производства: в учебных центрах, учебных классах и в дистанционной форме.</w:t>
      </w:r>
    </w:p>
    <w:p>
      <w:pPr>
        <w:pStyle w:val="TextBody"/>
        <w:rPr/>
      </w:pPr>
      <w:r>
        <w:rPr/>
        <w:t>В Тульской области система внутрифирменного профессионального обучения работников предпенсионного и пенсионного возраста в целях продолжения их трудовой деятельности развивается на предприятиях машиностроения, легкой, пищевой, химической промышленности, строительной отрасли, жилищно-коммунального хозяйства, в организациях здравоохранения и образования.</w:t>
      </w:r>
    </w:p>
    <w:p>
      <w:pPr>
        <w:pStyle w:val="TextBody"/>
        <w:rPr/>
      </w:pPr>
      <w:r>
        <w:rPr/>
        <w:t>На предприятиях Московской области переподготовка работников предпенсионного и пенсионного возраста осуществляется с учетом потребностей производства, для продолжения ими своей трудовой деятельности в соответствии с коллективными договорами организаций.</w:t>
      </w:r>
    </w:p>
    <w:p>
      <w:pPr>
        <w:pStyle w:val="TextBody"/>
        <w:rPr/>
      </w:pPr>
      <w:r>
        <w:rPr/>
        <w:t>Положительный опыт внутрифирменного профессионального обучения указанных работников накоплен такими крупными предприятиями области, как ОАО «Криогенмаш», ОАО «Воскресенские минеральные удобрения», ОАО «Приборный завод «Тензор», ФГПУ «ЦАГИ им Н.Е.Жуковского», ОАО «Елочка», ООО «Тон», ОАО «Коломенский завод», ОАО «Метровагонмаш», ОАО «Зио-Подольск», ОАО «Раменский приборостроительный завод», ФГУП «НПО имени С.А.Лавочкина», ОАО «НПО Энергомаш имени академика В.П.Глушко», ОАО «Электростальский завод тяжелого машиностроения», ОАО Демиховский машиностроительный завод».</w:t>
      </w:r>
    </w:p>
    <w:p>
      <w:pPr>
        <w:pStyle w:val="TextBody"/>
        <w:rPr/>
      </w:pPr>
      <w:r>
        <w:rPr/>
        <w:t>Граждане предпенсионного и пенсионного возраста также привлекаются в качестве наставников для молодежи, впервые приступающей к трудовой деятельности.</w:t>
      </w:r>
    </w:p>
    <w:p>
      <w:pPr>
        <w:pStyle w:val="TextBody"/>
        <w:rPr/>
      </w:pPr>
      <w:r>
        <w:rPr/>
        <w:t>Так, например, на предприятиях Чувашской Республики ведется целенаправленная работа по закреплению молодежи на рабочих местах, профилактике текучести кадров, защите социально-экономических и трудовых интересов работающей молодежи, сохранению трудовых традиций посредством развития системы наставничества. В качестве наставников молодежи привлекаются самые опытные сотрудники – лица предпенсионного и пенсионного возраста. На ОАО «Чебоксарский агрегатный завод», ОАО Научно-производственный комплекс «Элара» имени Г.А. Ильенко» и других организациях, где организована активная работа наставников, утверждены «Положение о наставничестве» и «Положение об адаптации молодых работников».</w:t>
      </w:r>
    </w:p>
    <w:p>
      <w:pPr>
        <w:pStyle w:val="TextBody"/>
        <w:rPr/>
      </w:pPr>
      <w:r>
        <w:rPr/>
        <w:t>В целях повышения престижа наставничества и сохранения трудовых традиций с 2007 года ежегодно проводятся республиканские конкурсы «Лучший наставник работающей молодежи» и «Лучший наставник». Кроме того, работники предприятий предпенсионного и пенсионного возраста назначаются руководителями производственных практик и стажировок учащихся и студентов организаций профессионального образования. Между образовательными организациями профессионального образования и работодателями подписаны договора о сотрудничестве, в которых предусмотрено наставничество для выпускников этих образовательных организаций и назначение опытных сотрудников руководителями производственных практик.</w:t>
      </w:r>
    </w:p>
    <w:p>
      <w:pPr>
        <w:pStyle w:val="TextBody"/>
        <w:rPr/>
      </w:pPr>
      <w:r>
        <w:rPr/>
        <w:t>В Свердловской области с 2011 года реализуется проект «Славим человека труда», в рамках которого ежегодно проводятся конкурсы профессионального мастерства среди работников предприятий. По итогам конкурсов граждане предпенсионного и пенсионного возраста, явившиеся победителями или наставниками конкурсантов, активно привлекаются в качестве наставников для молодежи, впервые приступающей к трудовой деятельности.</w:t>
      </w:r>
    </w:p>
    <w:p>
      <w:pPr>
        <w:pStyle w:val="TextBody"/>
        <w:rPr/>
      </w:pPr>
      <w:r>
        <w:rPr/>
        <w:t>В ОАО «Ирбитский химико-фармацевтический завод» вновь принятые работники закрепляются приказом по заводу за работниками предпенсионного и пенсионного возраста в качестве инструкторов профессионально-технического и практического обучения. На ОАО «Первоуральский новотрубный завод» за каждым молодым специалистом приказом по предприятию закрепляется наставник. Кандидаты в наставники проходят собеседования и тестирование. Среди опытных наставников на предприятии проводится конкурс на присвоение звания «Лучший наставник».</w:t>
      </w:r>
    </w:p>
    <w:p>
      <w:pPr>
        <w:pStyle w:val="TextBody"/>
        <w:rPr/>
      </w:pPr>
      <w:r>
        <w:rPr/>
        <w:t>В Калужской области практически на всех крупных промышленных предприятиях действует положение о наставничестве. Наставники выбираются из числа опытных работников, как правило, предпенсионного и пенсионного возраста. В положениях о наставничестве предусматриваются меры материального стимулирования наставников.</w:t>
      </w:r>
    </w:p>
    <w:p>
      <w:pPr>
        <w:pStyle w:val="TextBody"/>
        <w:rPr/>
      </w:pPr>
      <w:r>
        <w:rPr/>
        <w:t>Занятости лиц предпенсионного и пенсионного возрастов способствует их материальное стимулирование, закрепленное в коллективных договорах и локальных нормативных актах предприятий. Например, в ОАО «Калужский завод «Ремпутьмаш» при непрерывном стаже работы в организации 20, 30 и более лет работникам выплачивается денежное вознаграждение в размере от 2 тыс. рублей. В ЗАО «Плитспичпром» осуществляются единовременные выплаты работникам за безупречный труд при достижении пенсионного возраста в размере до 6 окладов.</w:t>
      </w:r>
    </w:p>
    <w:p>
      <w:pPr>
        <w:pStyle w:val="TextBody"/>
        <w:rPr/>
      </w:pPr>
      <w:r>
        <w:rPr/>
        <w:t>В ОАО «НПП «Калужский приборостроительный завод «Тайфун» предусмотрено ежегодное вознаграждение за выслугу лет и дополнительные дни к отпуску рабочим-станочникам. В ОАО «Обнинское научно-производственное предприятие «Технология» установлены единовременные выплаты работникам в связи с юбилейными датами: 50, 55, 60, 65 лет и т.д. за долголетнюю безупречную работу на предприятии. При стаже работы 20 лет и более работнику предоставляется дополнительно один выходной день с сохранением средней заработной платы.</w:t>
      </w:r>
    </w:p>
    <w:p>
      <w:pPr>
        <w:pStyle w:val="TextBody"/>
        <w:rPr/>
      </w:pPr>
      <w:r>
        <w:rPr/>
        <w:t>В целях повышения информированности граждан предпенсионного и пенсионного возраста о возможностях их трудоустройства во всех субъектах Российской Федерации органами службы занятости ведется региональный банк вакансий и общероссийский банк вакансий, размещенный на официальном портале Роструда «Работа в России».</w:t>
      </w:r>
    </w:p>
    <w:p>
      <w:pPr>
        <w:pStyle w:val="TextBody"/>
        <w:rPr/>
      </w:pPr>
      <w:r>
        <w:rPr/>
        <w:t>С помощью средств массовой информации, сети Интернет, информационно-телекоммуникационных сетей обеспечен свободный доступ для граждан предпенсионного и пенсионного возраста к информации о ситуации на рынке труда и потребности организаций в работниках, а также о возможностях их трудоустройства и, при необходимости, прохождения профессионального обучения.</w:t>
      </w:r>
    </w:p>
    <w:p>
      <w:pPr>
        <w:pStyle w:val="TextBody"/>
        <w:rPr/>
      </w:pPr>
      <w:r>
        <w:rPr/>
        <w:t>В Санкт-Петербурге с 2011 года реализуется Совместный план мероприятий по содействию гражданам пожилого возраста в трудоустройстве на 2011-2013 годы, утвержденный губернатором города. В его реализации принимают участие органы службы занятости и социальной политики Санкт-Петербурга, администрации районов города, а также органы местного самоуправления.</w:t>
      </w:r>
    </w:p>
    <w:p>
      <w:pPr>
        <w:pStyle w:val="TextBody"/>
        <w:rPr/>
      </w:pPr>
      <w:r>
        <w:rPr/>
        <w:t>В службе занятости введен и действует алгоритм взаимодействия специалистов отделов профессионального обучения, профессиональной ориентации и психологической поддержки, содействия трудоустройству граждан по формированию резерва на профессиональное обучение из числа граждан пожилого возраста.</w:t>
      </w:r>
    </w:p>
    <w:p>
      <w:pPr>
        <w:pStyle w:val="TextBody"/>
        <w:rPr/>
      </w:pPr>
      <w:r>
        <w:rPr/>
        <w:t>Информация о возможностях возобновления трудовой деятельности для людей пожилого возраста размещена в городских и районных средствах массовой информации, в метрополитене, на портале службы занятости, в тематических буклетах и брошюрах.</w:t>
      </w:r>
    </w:p>
    <w:p>
      <w:pPr>
        <w:pStyle w:val="TextBody"/>
        <w:rPr/>
      </w:pPr>
      <w:r>
        <w:rPr/>
        <w:t>Информирование граждан о возможностях трудоустройства, также осуществляется в ходе проведения ярмарок вакансий различного уровня. Службой занятости 2013 году организовано проведение 8 специализированных тематических ярмарок вакансий для граждан предпенсионного и пенсионного возраста, в которых приняло участие около 2,0 тыс. человек.</w:t>
      </w:r>
    </w:p>
    <w:p>
      <w:pPr>
        <w:pStyle w:val="TextBody"/>
        <w:rPr/>
      </w:pPr>
      <w:r>
        <w:rPr/>
        <w:t>В рамках проведения VIII Международного форума «Старшее поколение» 27-30 марта 2013 года была проведена ярмарка-выставка «Служба занятости – Санкт-Петербург» для граждан предпенсионного и пенсионного возраста на специализированной выставке социальной, медицинской, благотворительной помощи, товаров и услуг для пожилых людей «Забота, помощь, милосердие». У выставочного стенда была организована работа специалистов службы занятости для оказания услуг гражданам пожилого возраста по подбору подходящей работы из общегородского электронного банка вакансий в режиме экспресс - обслуживания. Данное мероприятие посетили около 4,0 тыс. человек.</w:t>
      </w:r>
    </w:p>
    <w:p>
      <w:pPr>
        <w:pStyle w:val="TextBody"/>
        <w:rPr/>
      </w:pPr>
      <w:r>
        <w:rPr/>
        <w:t>С целью профессионального обучения специалистами службы занятости в 2013 году проконсультировано и предложено обучение 3697 безработным, из них 3575 человек приступили к обучению, в том числе 158 человек из числа граждан предпенсионного возраста. В течении 2013 года при содействии службы занятости нашли работу 2149 человек из числа граждан предпенсионного возраста и 436 человек - из числа пенсионеров.</w:t>
      </w:r>
    </w:p>
    <w:p>
      <w:pPr>
        <w:pStyle w:val="TextBody"/>
        <w:rPr/>
      </w:pPr>
      <w:r>
        <w:rPr/>
        <w:t>На официальном сайте Министерства труда и занятости Иркутской области в сети Интернет ведется рубрика «Содействие трудоустройству граждан предпенсионного и пенсионного возраста» о государственных услугах, оказываемых органами службы занятости, о документах, необходимых для обращения за получением государственных услуг, о специализированных мероприятиях, проводимых центрами занятости для пожилых граждан. В 2013 году информационно-консультационные услуги о положении на областном рынке труда и возможностях трудоустройства получили 3,7 тыс. граждан предпенсионного возраста и 1,9 тыс. граждан пенсионного возраста. Специалистами органов службы занятости осуществлялось информирование пожилых граждан отдаленных населенных пунктов о возможности трудоустройства и переобучения в ходе выездов на места мобильных центров службы занятости. В 2013 году совершено 570 таких выездов мобильными центрами.</w:t>
      </w:r>
    </w:p>
    <w:p>
      <w:pPr>
        <w:pStyle w:val="TextBody"/>
        <w:rPr/>
      </w:pPr>
      <w:r>
        <w:rPr/>
        <w:t>Информирование граждан предпенсионного и пенсионного возраста Нижегородской области о возможностях профессионального обучения и трудоустройства осуществляется через информационные залы центров занятости, районные газеты, радио и телевидение, а также по телефонам «горячей линии» органов службы занятости.</w:t>
      </w:r>
    </w:p>
    <w:p>
      <w:pPr>
        <w:pStyle w:val="TextBody"/>
        <w:rPr/>
      </w:pPr>
      <w:r>
        <w:rPr/>
        <w:t>Информация о вакантных рабочих местах, профессиях (специальностях), востребованных на рынке труда, возможностях профессионального обучения по направлению службы занятости размещена на специальных стендах городских и районных центров занятости. При обращении в службу занятости пожилых граждан одновременно с проведением профессиональных консультаций им раздаются специально изданные в службе занятости тематические информационные материалы в виде буклетов, брошюр и флайеров.</w:t>
      </w:r>
    </w:p>
    <w:p>
      <w:pPr>
        <w:pStyle w:val="TextBody"/>
        <w:rPr/>
      </w:pPr>
      <w:r>
        <w:rPr/>
        <w:t>На сайте Нижегородской службы занятости создан раздел «Для граждан предпенсионного и пенсионного возраста». В центрах занятости населения реализована возможность скайп-связи соискателей (получателей государственных услуг) с работодателями (имеются веб-камеры, выход в интернет, логины-пароли для связи).</w:t>
      </w:r>
    </w:p>
    <w:p>
      <w:pPr>
        <w:pStyle w:val="TextBody"/>
        <w:rPr/>
      </w:pPr>
      <w:r>
        <w:rPr/>
        <w:t>В 2013 году государственная услуга по информированию граждан о положении на рынке труда и возможностях трудоустройства была предоставлена 12,5 тыс. человек из числа граждан предпенсионного и пенсионного возраста, из них 1,5 тыс. человек были проинформированы путем использования мобильных центров занятости в отдаленных районах, 326 человек - посредствам интернет ресурсов органов службы занятости. Государственные услуги по профессиональной ориентации получили 3,9 тыс. человек предпенсионного и - 1,7 тыс. человек пенсионного возраста. Около 1,1 тыс. граждан предпенсионного возраста получили психологическую поддержку, способствующую повышению мотивации к продолжению трудовой деятельности. По направлению службы занятости 70 граждан предпенсионного возраста завершили профессиональное обучение, из них 56 человек после переобучения были трудоустроены.</w:t>
      </w:r>
    </w:p>
    <w:p>
      <w:pPr>
        <w:pStyle w:val="TextBody"/>
        <w:rPr/>
      </w:pPr>
      <w:r>
        <w:rPr/>
        <w:t>В целях содействия трудоустройству граждан предпенсионного и пенсионного возраста, в том числе, на временные и общественные работы в субъектах Российской Федерации проводятся специализированные тематические ярмарки вакансий.</w:t>
      </w:r>
    </w:p>
    <w:p>
      <w:pPr>
        <w:pStyle w:val="TextBody"/>
        <w:rPr/>
      </w:pPr>
      <w:r>
        <w:rPr/>
        <w:t>Органами службы занятости Ставропольского края в 2013 году проведено 119 специализированных ярмарок вакансий, из них: 11 - для граждан предпенсионного и пенсионного возраста. В специализированных ярмарках вакансий приняли участие 52 работодателя, которыми было заявлено 410 вакансий. В указанных ярмарках приняли участие 513 человек из числа граждан пожилого возраста, имеющих активную жизненную позицию и желающих продолжить трудовую деятельность. В ходе проведения ярмарок участникам данного мероприятия была предоставлена возможность пройти собеседование с представителями работодателей, получить консультации об условиях работы и возможности трудоустройства. В результате проведенных специализированных ярмарок вакансий было трудоустроено 62 человека из числа граждан предпенсионного и пенсионного возраста.</w:t>
      </w:r>
    </w:p>
    <w:p>
      <w:pPr>
        <w:pStyle w:val="TextBody"/>
        <w:rPr/>
      </w:pPr>
      <w:r>
        <w:rPr/>
        <w:t>В Челябинской области в 2013 году органами службы занятости совместно с работодателями крупных организаций проведено 59 специализированных ярмарок вакансий для граждан предпенсионного и пенсионного возраста. В них приняли участие 1397 граждан пожилого возраста. На ярмарках вакансий по различным видам работ было заявлено 563 вакансии. По результатам проведения ярмарок на постоянную и временную работу было трудоустроено 244 человека из числа граждан предпенсионного и пенсионного возраста.</w:t>
      </w:r>
    </w:p>
    <w:p>
      <w:pPr>
        <w:pStyle w:val="TextBody"/>
        <w:rPr/>
      </w:pPr>
      <w:r>
        <w:rPr/>
        <w:t>Органами службы занятости Ульяновской области в 2013 году организовано проведение 27 специализированных ярмарок вакансий для граждан предпенсионного и пенсионного возраста. Посетили данное мероприятие 578 граждан пожилого возраста. По результатам проведенных ярмарок вакансий во всех центрах занятости населения была сформирована база данных «Старшее поколение» для дальнейшего трудоустройства, переподготовки и повышения квалификации граждан пожилого возраста. По показателям базы данных «Старшее поколение города Ульяновска» 36 человек из числа граждан пенсионного возраста выразили желание продолжить трудовую деятельность без обучения, 65 человек согласились пройти переподготовку и повышение квалификации с целью продолжения трудовой деятельности. В течение 2013 года по направлению органов службы занятости прошли профессиональное обучение 42 человека из числа граждан предпенсионного возраста. Из них по завершению обучения было трудоустроено 27 человек (64,3%)</w:t>
      </w:r>
    </w:p>
    <w:p>
      <w:pPr>
        <w:pStyle w:val="TextBody"/>
        <w:rPr/>
      </w:pPr>
      <w:r>
        <w:rPr/>
        <w:t>В целях повышения информированности граждан предпенсионного и пенсионного возраста о возможности профессионального обучения, трудоустройства и предпринимательской деятельности в рамках работы по развитию сети «Университетов третьего возраста» в субъектах Российской Федерации проводится большая работа по обучению граждан предпенсионного и пенсионного возраста компьютерной грамотности.</w:t>
      </w:r>
    </w:p>
    <w:p>
      <w:pPr>
        <w:pStyle w:val="TextBody"/>
        <w:rPr/>
      </w:pPr>
      <w:r>
        <w:rPr/>
        <w:t>В Республики Татарстан с 2012 года реализуется проект «Интернет-Долголетие» по организации обучения основам компьютерной грамотности граждан из числа пенсионеров, лиц предпенсионного и пожилого возраста. На реализацию данного проекта из бюджета Республики выделено 18 150 тыс. рублей.</w:t>
      </w:r>
    </w:p>
    <w:p>
      <w:pPr>
        <w:pStyle w:val="TextBody"/>
        <w:rPr/>
      </w:pPr>
      <w:r>
        <w:rPr/>
        <w:t>По состоянию на 1 января 2014 года в изучении основ компьютерной грамотности принимает участие 16,5 тыс. человек указанной категории граждан, проходящих обучение на базе 564 образовательных учреждений, в том числе в 501 общеобразовательной школе и в 15 ВУЗах. Кроме того, свыше 2,6 тыс. граждан предпенсионного и пенсионного возраста проходят обучение компьютерной грамотности непосредственно на предприятиях и организациях за счет средств этих организаций.</w:t>
      </w:r>
    </w:p>
    <w:p>
      <w:pPr>
        <w:pStyle w:val="TextBody"/>
        <w:rPr/>
      </w:pPr>
      <w:r>
        <w:rPr/>
        <w:t>Обучение пожилых граждан работе на компьютере в Республике осуществляется также в рамках проекта «Университет третьего возраста» регионального отделения Общероссийской общественной организации «Союз пенсионеров России» по Республике Татарстан. Количество обучающихся в «Университете третьего возраста» в 2012-2013 учебном году составило 2,4 тыс. человек. В 2013-2014 учебном году к обучению приступили около 2,0 тыс. человек. Таким образом, в течение 2012-2013 годов в изучении основ компьютерной грамотности приняли участие обучение 23,5 тыс. человек из числа граждан предпенсионного и пенсионного возраста.</w:t>
      </w:r>
    </w:p>
    <w:p>
      <w:pPr>
        <w:pStyle w:val="TextBody"/>
        <w:rPr/>
      </w:pPr>
      <w:r>
        <w:rPr/>
        <w:t>От Республики Татарстан были поданы 7 заявок на участие в Конкурсе организаторов программ для граждан пожилого возраста, учителей и учеников «Доступный интернет», проводимом Минтрудом России.</w:t>
      </w:r>
    </w:p>
    <w:p>
      <w:pPr>
        <w:pStyle w:val="TextBody"/>
        <w:rPr/>
      </w:pPr>
      <w:r>
        <w:rPr/>
        <w:t>В Республике Бурятия обучение компьютерной грамотности прошли около 2,7 тыс. граждан пожилого возраста. Органами социальной защиты Республики выстраивается тесное взаимодействие с общественными и ветеранскими организациями, включая Союз пенсионеров, Совет ветеранов и др. Разработан совместный Республиканский план мероприятий по работе с пенсионерами на 2013-2015 годы «Жизнь продолжается», в котором предусматривается проведение с участием пенсионеров «круглых столов», встреч и выставок творчества, разработка и реализация совместных социальных проектов, проведение мероприятий по занятости и самозанятости пенсионеров.</w:t>
      </w:r>
    </w:p>
    <w:p>
      <w:pPr>
        <w:pStyle w:val="TextBody"/>
        <w:rPr/>
      </w:pPr>
      <w:r>
        <w:rPr/>
        <w:t>В Тюменской области четвертый год реализуются мероприятия программы «Расширяя горизонты», целью которой является повышение уровня компьютерной грамотности населения и доступности сети Интернет. Бесплатные обучающие семинары, по итогам которых каждый слушатель получает именной сертификат, организованы во всех районах области. В 2013 году обучение по указанной программе прошли 6,5 тыс. граждан пенсионного возраста или каждый второй от общего числа обучающихся.</w:t>
      </w:r>
    </w:p>
    <w:p>
      <w:pPr>
        <w:pStyle w:val="TextBody"/>
        <w:rPr/>
      </w:pPr>
      <w:r>
        <w:rPr/>
        <w:t>В Амурской области деятельность филиалов «Университета третьего возраста» организована Амурским региональным отделением общероссийской организацией «Союз пенсионеров России» в 16 муниципальных образованиях. В 2013 году на базе территориальных подразделений отделений Пенсионного фонда, образовательных учреждений среднего и высшего профессионального образования, муниципальных школ и библиотек, включая Амурскую областную научную библиотеку им. Н.Н. Муравьева-Амурского, организовано 25 компьютерных классов для обучения граждан предпенсионного и пенсионного возраста. В результате за прошедший год в рамках социального проекта «Компьютерная академия для пенсионеров» было обучено 328 пожилых граждан и инвалидов пенсионного возраста.</w:t>
      </w:r>
    </w:p>
    <w:p>
      <w:pPr>
        <w:pStyle w:val="TextBody"/>
        <w:rPr/>
      </w:pPr>
      <w:r>
        <w:rPr/>
        <w:t>При поддержке Правительства области, партнеров проекта «Олимпиада интернет-долголетие», студентов и преподавателей Благовещенского государственного педагогического университета в 2013 году организована олимпиада по компьютерному многоборью среди граждан пенсионного возраста с участием 16 команд из различных муниципальных образований.</w:t>
      </w:r>
    </w:p>
    <w:p>
      <w:pPr>
        <w:pStyle w:val="TextBody"/>
        <w:rPr/>
      </w:pPr>
      <w:r>
        <w:rPr/>
        <w:t>На базе указанного университета разработана и реализуется учебная программа «Информационные технологии для людей пенсионного возраста», создан студенческий волонтерский отряд «Единство поколений», выпущено учебное пособие «Социальные сервисы. Лабораторный практикум для пенсионеров», подготовлен пакет методического и технического обеспечения реализации программных мероприятий. Всего на базе университета в 2013 году было обучено компьютерной грамотности более 100 граждан предпенсионного и пенсионного возраста.</w:t>
      </w:r>
    </w:p>
    <w:p>
      <w:pPr>
        <w:pStyle w:val="TextBody"/>
        <w:rPr/>
      </w:pPr>
      <w:r>
        <w:rPr/>
        <w:t>В Камчатском крае в 2013 году было организовано обучение пожилых людей через «Университет третьего возраста» при Камчатской краевой научной библиотеке им. С.П.Крашенинникова. В рамках проекта была организована работа факультета информационных технологий, в том числе, по проведению курсов компьютерной грамотности.</w:t>
      </w:r>
    </w:p>
    <w:p>
      <w:pPr>
        <w:pStyle w:val="TextBody"/>
        <w:rPr/>
      </w:pPr>
      <w:r>
        <w:rPr/>
        <w:t>Обучение прошли 297 пенсионеров, которые получили сертификаты об окончании курсов по различным направлениям. С 2014 года мероприятия данной направленности планируется реализовать в рамках подпрограммы «Старшее поколение в Камчатском крае» государственной программы «Социальная поддержка граждан в Камчатском крае на 2014-2018 годы».</w:t>
      </w:r>
    </w:p>
    <w:p>
      <w:pPr>
        <w:pStyle w:val="TextBody"/>
        <w:rPr/>
      </w:pPr>
      <w:r>
        <w:rPr>
          <w:rStyle w:val="StrongEmphasis"/>
        </w:rPr>
        <w:t>Выводы и предложения</w:t>
      </w:r>
    </w:p>
    <w:p>
      <w:pPr>
        <w:pStyle w:val="TextBody"/>
        <w:rPr/>
      </w:pPr>
      <w:r>
        <w:rPr/>
        <w:t>Анализ информации социально-экономического положения пожилых людей в Российской Федерации за 2012-2013 годы показал, что по большинству показателей социального развития удалось обеспечить положительные результаты.</w:t>
      </w:r>
    </w:p>
    <w:p>
      <w:pPr>
        <w:pStyle w:val="TextBody"/>
        <w:rPr/>
      </w:pPr>
      <w:r>
        <w:rPr/>
        <w:t>Создана нормативно-правовая база для последующих, более активных действий в отношении пожилых людей. В рамках региональных программ реализуются мероприятия, направленные на повышение качества жизни граждан пожилого возраста.</w:t>
      </w:r>
    </w:p>
    <w:p>
      <w:pPr>
        <w:pStyle w:val="TextBody"/>
        <w:rPr/>
      </w:pPr>
      <w:r>
        <w:rPr/>
        <w:t>Повысился общий уровень пенсионного обеспечения граждан пожилого возраста.</w:t>
      </w:r>
    </w:p>
    <w:p>
      <w:pPr>
        <w:pStyle w:val="TextBody"/>
        <w:rPr/>
      </w:pPr>
      <w:r>
        <w:rPr/>
        <w:t>Увеличилась занятость граждан пожилого возраста. Осуществляется информирование пожилых людей о возможностях трудоустройства, проводится психологическая и профориентационная работа, реализуются специальные программы профессионального обучения граждан пенсионного возраста, желающих продолжать трудовую деятельность.</w:t>
      </w:r>
    </w:p>
    <w:p>
      <w:pPr>
        <w:pStyle w:val="TextBody"/>
        <w:rPr/>
      </w:pPr>
      <w:r>
        <w:rPr/>
        <w:t>В целях продолжения трудовой деятельности работников предпенсионного и пенсионного возраста получила развитие система внутрифирменного профессионального обучения, граждане предпенсионного и пенсионного возраста привлекаются в качестве наставников для молодежи, впервые приступающей к трудовой деятельности, развивается сеть университетов третьего возраста.</w:t>
      </w:r>
    </w:p>
    <w:p>
      <w:pPr>
        <w:pStyle w:val="TextBody"/>
        <w:rPr/>
      </w:pPr>
      <w:r>
        <w:rPr/>
        <w:t>В целях содействия трудоустройству граждан предпенсионного и пенсионного возраста проводятся специализированные тематические ярмарки вакансий, в том числе на временные и общественные работы.</w:t>
      </w:r>
    </w:p>
    <w:p>
      <w:pPr>
        <w:pStyle w:val="TextBody"/>
        <w:rPr/>
      </w:pPr>
      <w:r>
        <w:rPr/>
        <w:t>Вместе с тем следует отметить, что в ряде субъектов Российской Федерации сохраняются нерешенные вопросы, связанные с ухудшением состояния здоровья граждан пожилого возраста и низкой доступностью социальных услуг.</w:t>
      </w:r>
    </w:p>
    <w:p>
      <w:pPr>
        <w:pStyle w:val="TextBody"/>
        <w:rPr/>
      </w:pPr>
      <w:r>
        <w:rPr/>
        <w:t>Подводя итог всему изложенному, полагается целесообразным реализовать комплекс мер, направленных на обеспечение благоприятных условий жизни пожилых людей, одним из направлений которой является институциальное обеспечение социальной активности пожилых людей.</w:t>
      </w:r>
    </w:p>
    <w:p>
      <w:pPr>
        <w:pStyle w:val="TextBody"/>
        <w:rPr/>
      </w:pPr>
      <w:r>
        <w:rPr/>
        <w:t>В качестве мер, способствующих более достойному отношению к гражданам пожилого возраста и проявлению ими социальной активности, предлагаются следующие:</w:t>
      </w:r>
    </w:p>
    <w:p>
      <w:pPr>
        <w:pStyle w:val="TextBody"/>
        <w:numPr>
          <w:ilvl w:val="0"/>
          <w:numId w:val="4"/>
        </w:numPr>
        <w:tabs>
          <w:tab w:val="left" w:pos="0" w:leader="none"/>
        </w:tabs>
        <w:spacing w:before="0" w:after="0"/>
        <w:ind w:left="707" w:hanging="283"/>
        <w:rPr/>
      </w:pPr>
      <w:r>
        <w:rPr/>
        <w:t xml:space="preserve">развитие форм межпоколенческой поддержки программ для людей пожилого возраста и их вовлечение в волонтерскую деятельность; </w:t>
      </w:r>
    </w:p>
    <w:p>
      <w:pPr>
        <w:pStyle w:val="TextBody"/>
        <w:numPr>
          <w:ilvl w:val="0"/>
          <w:numId w:val="4"/>
        </w:numPr>
        <w:tabs>
          <w:tab w:val="left" w:pos="0" w:leader="none"/>
        </w:tabs>
        <w:spacing w:before="0" w:after="0"/>
        <w:ind w:left="707" w:hanging="283"/>
        <w:rPr/>
      </w:pPr>
      <w:r>
        <w:rPr/>
        <w:t xml:space="preserve">развитие досуговых центров для пожилых людей, в том числе с возможностью посещения совместно с членами семьи, в том числе с детьми; </w:t>
      </w:r>
    </w:p>
    <w:p>
      <w:pPr>
        <w:pStyle w:val="TextBody"/>
        <w:numPr>
          <w:ilvl w:val="0"/>
          <w:numId w:val="4"/>
        </w:numPr>
        <w:tabs>
          <w:tab w:val="left" w:pos="0" w:leader="none"/>
        </w:tabs>
        <w:spacing w:before="0" w:after="0"/>
        <w:ind w:left="707" w:hanging="283"/>
        <w:rPr/>
      </w:pPr>
      <w:r>
        <w:rPr/>
        <w:t xml:space="preserve">развитие социальных служб, предоставляющих социальные услуги, в том числе на дому семьям, осуществляющим уход за нетрудоспособными совершеннолетними членами семьи, нуждающимися в постоянном постороннем уходе; </w:t>
      </w:r>
    </w:p>
    <w:p>
      <w:pPr>
        <w:pStyle w:val="TextBody"/>
        <w:numPr>
          <w:ilvl w:val="0"/>
          <w:numId w:val="4"/>
        </w:numPr>
        <w:tabs>
          <w:tab w:val="left" w:pos="0" w:leader="none"/>
        </w:tabs>
        <w:ind w:left="707" w:hanging="283"/>
        <w:rPr/>
      </w:pPr>
      <w:r>
        <w:rPr/>
        <w:t xml:space="preserve">развитие программ обучения членов семьи навыкам ухода за инвалидом или пожилым человеком. </w:t>
      </w:r>
    </w:p>
    <w:p>
      <w:pPr>
        <w:pStyle w:val="TextBody"/>
        <w:rPr/>
      </w:pPr>
      <w:r>
        <w:rPr/>
        <w:t>В рамках системного подхода указанные мероприятия предлагается отразить в Концепции государственной семейной политики.</w:t>
      </w:r>
    </w:p>
    <w:p>
      <w:pPr>
        <w:pStyle w:val="TextBody"/>
        <w:rPr/>
      </w:pPr>
      <w:r>
        <w:rPr/>
        <w:t>Решение проблем пожилых людей также возможно за счет координации, взаимодействия органов государственной власти, органов местного самоуправления, бизнеса и общественных организаций.</w:t>
      </w:r>
    </w:p>
    <w:p>
      <w:pPr>
        <w:pStyle w:val="TextBody"/>
        <w:rPr/>
      </w:pPr>
      <w:r>
        <w:rPr/>
        <w:t>В реализации социальных прав граждан пожилого возраста должны сыграть положительную роль общественные организации и объединения. Основную роль в этой работе должны выполнять общественные организации ветеранов, ориентированные на поддержку конкретных категорий пожилых людей.</w:t>
      </w:r>
    </w:p>
    <w:p>
      <w:pPr>
        <w:pStyle w:val="TextBody"/>
        <w:rPr/>
      </w:pPr>
      <w:r>
        <w:rPr/>
        <w:t>Для более эффективной поддержки пожилых людей, вовлечения их в активную жизнедеятельность и реализации их социальных прав необходимо совершенствовать механизмы взаимодействия</w:t>
      </w:r>
      <w:r>
        <w:rPr>
          <w:rStyle w:val="StrongEmphasis"/>
        </w:rPr>
        <w:t xml:space="preserve"> </w:t>
      </w:r>
      <w:r>
        <w:rPr/>
        <w:t>государственных структур с социально ориентированными некоммерческими организациями.</w:t>
      </w:r>
    </w:p>
    <w:p>
      <w:pPr>
        <w:pStyle w:val="TextBody"/>
        <w:rPr/>
      </w:pPr>
      <w:r>
        <w:rPr/>
        <w:t>Кроме того, необходимо продолжить развитие системы обучения пожилых людей, в том числе с использованием современных информационных систем, а также использовать опыт по взаимодействию органов исполнительной власти субъектов Российской Федерации, научного сообщества, общественных организаций по обеспечению более качественной, разнообразной, полноценной жизни людей старшего поколения, путем активного включения их в образовательные программы для людей «третьего возраста» и реализации программ содействия трудоустройству пожилых людей.</w:t>
      </w:r>
    </w:p>
    <w:p>
      <w:pPr>
        <w:pStyle w:val="TextBody"/>
        <w:spacing w:before="0" w:after="283"/>
        <w:rPr/>
      </w:pPr>
      <w:r>
        <w:rPr/>
        <w:t>Все вышеуказанные мероприятия целесообразно осуществлять в рамках системного подхода при реализации государственных программ Российской Федерации «Социальная поддержка граждан», утвержденной постановлением Правительства Российской Федерации от 15 апреля 2014 г. № 296, устанавливающей требования к политике субъектов Российской Федерации, в том числе к региональным программам, направленным на повышение качества жизни пожилых людей, «Содействие занятости населения», утвержденной постановлением Правительства Российской Федерации от 15 апреля 2014 г. № 298, и региональных программ по реализации комплекса мер, направленных на повышение занятости граждан пенсионного возраста.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