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№424н от 30 июня 2014 г.</w:t>
      </w:r>
    </w:p>
    <w:p>
      <w:pPr>
        <w:pStyle w:val="Heading2"/>
        <w:rPr/>
      </w:pPr>
      <w:r>
        <w:rPr/>
        <w:t>«Об утверждении форм и порядка подачи уведомления о заключении или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ему отпуска без сохранения заработной платы продолжительностью более одного календарного месяца в течение года»</w:t>
      </w:r>
    </w:p>
    <w:p>
      <w:pPr>
        <w:pStyle w:val="TextBody"/>
        <w:rPr/>
      </w:pPr>
      <w:r>
        <w:rPr/>
        <w:t xml:space="preserve">В соответствии с абзацем третьим пункта 18 статьи 13.4 Федерального закона </w:t>
        <w:br/>
        <w:t>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2013, № 30 ст. 4036)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уведомления о заключении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уведомления о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гражданину,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согласно приложению № 3;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подачи уведомления о заключении или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ему отпуска без сохранения заработной платы продолжительностью более одного календарного месяца в течение года согласно приложению № 4.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