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№664н от 29 сентября 2014 г.</w:t>
      </w:r>
    </w:p>
    <w:p>
      <w:pPr>
        <w:pStyle w:val="Heading2"/>
        <w:rPr/>
      </w:pPr>
      <w:r>
        <w:rPr/>
        <w:t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</w:p>
    <w:p>
      <w:pPr>
        <w:pStyle w:val="TextBody"/>
        <w:rPr/>
      </w:pPr>
      <w:r>
        <w:rPr/>
        <w:t>В соответствии с подпунктом 5.2.105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с. 3528; 2013, № 22, ст. 2809; № 36, ст. 4578; № 37, ст. 4703; № 45, ст. 5822; № 46, ст. 5952; 2014, № 21, ст. 2710; № 32, ст. 4499), п р и к а з ы в а ю:</w:t>
      </w:r>
    </w:p>
    <w:p>
      <w:pPr>
        <w:pStyle w:val="TextBody"/>
        <w:rPr/>
      </w:pPr>
      <w:r>
        <w:rPr/>
        <w:t>1. Утвердить прилагаемые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23 декабря 2009 г. № 1013н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 Министерством юстиции Российской Федерации 11 марта 2010 г. № 16603);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26 января 2012 г. № 60н «О внесении изменений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Министерства здравоохранения и социального развития Российской Федерации от 23 декабря 2009 г. № 1013н» (зарегистрирован Министерством юстиции Российской Федерации 15 февраля 2012 г. № 23224).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