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23 декабря 2014 г.</w:t>
      </w:r>
    </w:p>
    <w:p>
      <w:pPr>
        <w:pStyle w:val="Heading2"/>
        <w:rPr/>
      </w:pPr>
      <w:r>
        <w:rPr/>
        <w:t>«Соглашение о внесении изменений и дополнений в Отраслевое тарифное соглашение по горно-металлургическому комплексу России на 2014-2016 годы»</w:t>
      </w:r>
    </w:p>
    <w:p>
      <w:pPr>
        <w:pStyle w:val="TextBody"/>
        <w:rPr/>
      </w:pPr>
      <w:r>
        <w:rPr/>
        <w:t>(Зарегистрировано в Роструде 31 декабря 2014 года, регистрационный номер 36/14-16)</w:t>
      </w:r>
    </w:p>
    <w:p>
      <w:pPr>
        <w:pStyle w:val="TextBody"/>
        <w:rPr/>
      </w:pPr>
      <w:r>
        <w:rPr/>
        <w:t>Горно-металлургический профсоюз России (ГМПР) и Общероссийское отраслевое объединение работодателей «Ассоциация промышленников горно-металлургического комплекса России» (АМРОС), руководствуясь статьей 49 Трудового кодекса Российской Федерации и пунктом 1.4.5 Отраслевого тарифного соглашения по горно-металлургическому комплексу России на 2014-2016 годы (ОТС на 2014-2016 годы), заключили настоящее Соглашение о нижеследующем:</w:t>
      </w:r>
    </w:p>
    <w:p>
      <w:pPr>
        <w:pStyle w:val="TextBody"/>
        <w:rPr/>
      </w:pPr>
      <w:r>
        <w:rPr/>
        <w:t>1. В связи с истечением 31 декабря 2014 года срока действия раздела «Оплата труда» ОТС на 2014-2016 годы:</w:t>
      </w:r>
    </w:p>
    <w:p>
      <w:pPr>
        <w:pStyle w:val="TextBody"/>
        <w:rPr/>
      </w:pPr>
      <w:r>
        <w:rPr/>
        <w:t>1.1. Продлить действие раздела «Оплата труда» на 2015 год;</w:t>
      </w:r>
    </w:p>
    <w:p>
      <w:pPr>
        <w:pStyle w:val="TextBody"/>
        <w:rPr/>
      </w:pPr>
      <w:r>
        <w:rPr/>
        <w:t>1.2. Изложить пункт 5.5 в редакции:</w:t>
      </w:r>
    </w:p>
    <w:p>
      <w:pPr>
        <w:pStyle w:val="TextBody"/>
        <w:rPr/>
      </w:pPr>
      <w:r>
        <w:rPr/>
        <w:t>«Минимальный размер заработной платы при выполнении работником трудовых обязанностей и отработке месячного баланса рабочего времени не может быть ниже 1,5 прожиточных минимумов трудоспособного населения в соответствующем субъекте Российской Федерации.</w:t>
      </w:r>
    </w:p>
    <w:p>
      <w:pPr>
        <w:pStyle w:val="TextBody"/>
        <w:rPr/>
      </w:pPr>
      <w:r>
        <w:rPr/>
        <w:t>Для работников неосновных видов деятельности коллективным договором могут быть установлены иные значения минимальной заработной платы, но не ниже 1,2 прожиточного минимума трудоспособного населения, установленного на федеральном уровне».</w:t>
      </w:r>
    </w:p>
    <w:p>
      <w:pPr>
        <w:pStyle w:val="TextBody"/>
        <w:rPr/>
      </w:pPr>
      <w:r>
        <w:rPr/>
        <w:t>1.3. Изложить пункт 5.9 в редакции:</w:t>
      </w:r>
    </w:p>
    <w:p>
      <w:pPr>
        <w:pStyle w:val="TextBody"/>
        <w:rPr/>
      </w:pPr>
      <w:r>
        <w:rPr/>
        <w:t>«В исключительных случаях, когда экономическое состояние организации не позволяет работодателю обеспечить рост заработной платы в 2015 году, работодатель обязан представить мотивированное обоснование в АМРОС и ЦС ГМПР в течение первого полугодия».</w:t>
      </w:r>
    </w:p>
    <w:p>
      <w:pPr>
        <w:pStyle w:val="TextBody"/>
        <w:rPr/>
      </w:pPr>
      <w:r>
        <w:rPr/>
        <w:t>2. В соответствии с Федеральным законом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внести в ОТС на 2014-2016 годы следующие изменения и дополнения:</w:t>
      </w:r>
    </w:p>
    <w:p>
      <w:pPr>
        <w:pStyle w:val="TextBody"/>
        <w:rPr/>
      </w:pPr>
      <w:r>
        <w:rPr/>
        <w:t>2.1. Пункт 4.1. раздела «Рабочее время» дополнить абзацами следующего содержания:</w:t>
      </w:r>
    </w:p>
    <w:p>
      <w:pPr>
        <w:pStyle w:val="TextBody"/>
        <w:rPr/>
      </w:pPr>
      <w:r>
        <w:rPr/>
        <w:t>«Продолжительность рабочего времени конкретного работника устанавливается трудовым договором на основании настоящего соглашения и коллективного договора с учетом результатов специальной оценки условий труда.</w:t>
      </w:r>
    </w:p>
    <w:p>
      <w:pPr>
        <w:pStyle w:val="TextBody"/>
        <w:rPr/>
      </w:pPr>
      <w:r>
        <w:rPr/>
        <w:t>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36-часовой рабочей неделе - 8 часов;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 30-часовой рабочей неделе - 6 часов. </w:t>
      </w:r>
    </w:p>
    <w:p>
      <w:pPr>
        <w:pStyle w:val="TextBody"/>
        <w:rPr/>
      </w:pPr>
      <w:r>
        <w:rPr/>
        <w:t>На основании настоящего Соглашения, в порядке, установленном коллективным договором организации, а также при наличии письменного согласия работника, оформленного путем заключения отдельного соглашения к трудовому договору: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продолжительность рабочего времени может быть увеличена, но не более чем до 40 часов в неделю с выплатой работнику отдельно устанавливаемой денежной компенсации в размерах и на условиях, которые установлены коллективным договором организации;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минимальные размеры компенсации устанавливаются в диапазоне от 20 до 50 процентов часовой тарифной ставки за каждый час работы сверх 36 часов в соответствии со статьей 92 Трудового кодекса Российской Федерации. Конкретные размеры компенсации устанавливаются коллективным договором организации, которым могут быть предусмотрены более высокие значения в зависимости от финансово-экономического положения организации;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может быть предусмотрено увеличение максимально допустимой продолжительности ежедневной работы (смены) для работников, занятых на работах с вредными и (или) опасными условиями труда, где установлена сокращенная продолжительность рабочего времени, при условии соблюдения предельной еженедельной продолжительности рабочего времени: </w:t>
      </w:r>
    </w:p>
    <w:p>
      <w:pPr>
        <w:pStyle w:val="TextBody"/>
        <w:rPr/>
      </w:pPr>
      <w:r>
        <w:rPr/>
        <w:t>- при 36-часовой рабочей неделе - до 12 часов;</w:t>
      </w:r>
    </w:p>
    <w:p>
      <w:pPr>
        <w:pStyle w:val="TextBody"/>
        <w:rPr/>
      </w:pPr>
      <w:r>
        <w:rPr/>
        <w:t>- при 30-часовой рабочей неделе и менее - до 8 часов».</w:t>
      </w:r>
    </w:p>
    <w:p>
      <w:pPr>
        <w:pStyle w:val="TextBody"/>
        <w:rPr/>
      </w:pPr>
      <w:r>
        <w:rPr/>
        <w:t>2.2 Пункт 6.4. раздела «Отпуска» изложить в редакции:</w:t>
      </w:r>
    </w:p>
    <w:p>
      <w:pPr>
        <w:pStyle w:val="TextBody"/>
        <w:rPr/>
      </w:pPr>
      <w:r>
        <w:rPr/>
        <w:t>«Ежегодный дополнительный оплачиваемый отпуск предоставляется работникам, условия труда на рабочих местах которых, по результатам специальной оценки отнесены к 3 классу вредных условий труда подклассов 3.2, 3.3, 3.4 (вредных условий труда 2, 3 и 4 степени) либо опасным условиям труда (4 класс).</w:t>
      </w:r>
    </w:p>
    <w:p>
      <w:pPr>
        <w:pStyle w:val="TextBody"/>
        <w:rPr/>
      </w:pPr>
      <w:r>
        <w:rPr/>
        <w:t>Минимальная продолжительность ежегодного дополнительного отпуска составляет 7 календарных дней.</w:t>
      </w:r>
    </w:p>
    <w:p>
      <w:pPr>
        <w:pStyle w:val="TextBody"/>
        <w:rPr/>
      </w:pPr>
      <w:r>
        <w:rPr/>
        <w:t>Повышенные размеры отпусков по классам и подклассам вредных либо опасных условий труда устанавливаются коллективным договором.</w:t>
      </w:r>
    </w:p>
    <w:p>
      <w:pPr>
        <w:pStyle w:val="TextBody"/>
        <w:rPr/>
      </w:pPr>
      <w:r>
        <w:rPr/>
        <w:t>В порядке, установленном коллективным договором организации, а также при наличии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превышающая минимальную продолжительность данного отпуска, может быть заменена денежной компенсацией.</w:t>
      </w:r>
    </w:p>
    <w:p>
      <w:pPr>
        <w:pStyle w:val="TextBody"/>
        <w:rPr/>
      </w:pPr>
      <w:r>
        <w:rPr/>
        <w:t>Компенсация рассчитывается в соответствии с Положением об особенностях порядка исчисления средней заработной платы, утвержденным Постановлением Правительства РФ от 24 декабря 2007г. № 922, для случаев определения среднего заработка при выплате компенсаций за неиспользованный отпуск».</w:t>
      </w:r>
    </w:p>
    <w:p>
      <w:pPr>
        <w:pStyle w:val="TextBody"/>
        <w:rPr/>
      </w:pPr>
      <w:r>
        <w:rPr/>
        <w:t>3. Настоящее Соглашение вступает в силу с момента подписания и действует до 31.12.2015 года.</w:t>
      </w:r>
    </w:p>
    <w:p>
      <w:pPr>
        <w:pStyle w:val="Heading5"/>
        <w:rPr/>
      </w:pPr>
      <w:r>
        <w:rPr/>
        <w:t xml:space="preserve">Председатель </w:t>
        <w:br/>
        <w:t xml:space="preserve">Горно-металлургического профсоюза России </w:t>
        <w:br/>
        <w:t>А.А. Безымянных</w:t>
      </w:r>
    </w:p>
    <w:p>
      <w:pPr>
        <w:pStyle w:val="Heading5"/>
        <w:spacing w:before="120" w:after="60"/>
        <w:rPr/>
      </w:pPr>
      <w:r>
        <w:rPr/>
        <w:t xml:space="preserve">Исполнительный директор </w:t>
        <w:br/>
        <w:t xml:space="preserve">Ассоциации промышленников </w:t>
        <w:br/>
        <w:t xml:space="preserve">горно-металлургического комплекса России </w:t>
        <w:br/>
        <w:t>А.М. Окуньков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