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24 декабря 2014 г.</w:t>
      </w:r>
    </w:p>
    <w:p>
      <w:pPr>
        <w:pStyle w:val="Heading2"/>
        <w:rPr/>
      </w:pPr>
      <w:r>
        <w:rPr/>
        <w:t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2015 год»</w:t>
      </w:r>
    </w:p>
    <w:p>
      <w:pPr>
        <w:pStyle w:val="TextBody"/>
        <w:spacing w:before="0" w:after="283"/>
        <w:rPr/>
      </w:pPr>
      <w:r>
        <w:rPr/>
        <w:t>(Утверждены решением Российской трехсторонней комиссии по регулированию социально-трудовых отношений от 24 декабря 2014 г., протокол № 11)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