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№163 от 12 марта 2015 г.</w:t>
      </w:r>
    </w:p>
    <w:p>
      <w:pPr>
        <w:pStyle w:val="Heading2"/>
        <w:rPr/>
      </w:pPr>
      <w:r>
        <w:rPr/>
        <w:t>«О заключении дополнительных соглашений на 2015 год к соглашениям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об обеспечении достижения в 2014 – 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(2013 – 2018 годы)»»</w:t>
      </w:r>
    </w:p>
    <w:p>
      <w:pPr>
        <w:pStyle w:val="TextBody"/>
        <w:rPr/>
      </w:pPr>
      <w:r>
        <w:rPr/>
        <w:t>В соответствии с поручением Президента Российской Федерации от 20 февраля 2015 г. № Пр-285 п р и к а з ы в а ю:</w:t>
      </w:r>
    </w:p>
    <w:p>
      <w:pPr>
        <w:pStyle w:val="TextBody"/>
        <w:rPr/>
      </w:pPr>
      <w:r>
        <w:rPr/>
        <w:t>1. Департаменту демографической политики и социальной защиты населения (С.В. Петрова), Департаменту оплаты труда, трудовых отношений и социального партнерства (М.С. Маслова) совместно с высшими исполнительными органами государственной власти субъектов Российской Федерации обеспечить заключение дополнительных соглашений на 2015 год к соглашениям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об обеспечении достижения в 2014 – 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(2013 – 2018 годы)» по форме согласно приложению.</w:t>
      </w:r>
    </w:p>
    <w:p>
      <w:pPr>
        <w:pStyle w:val="TextBody"/>
        <w:rPr/>
      </w:pPr>
      <w:r>
        <w:rPr/>
        <w:t xml:space="preserve">2. 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