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31 марта 2015 г.</w:t>
      </w:r>
    </w:p>
    <w:p>
      <w:pPr>
        <w:pStyle w:val="Heading2"/>
        <w:rPr/>
      </w:pPr>
      <w:r>
        <w:rPr/>
        <w:t>«Дополнительное соглашение к отраслевому соглашению по организациям нефтяной, газовой отраслей промышленности и строительства объектов нефтегазового комплекса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27 апреля 2015 года, регистрационный номер 14/14-16)</w:t>
      </w:r>
    </w:p>
    <w:p>
      <w:pPr>
        <w:pStyle w:val="TextBody"/>
        <w:rPr/>
      </w:pPr>
      <w:r>
        <w:rPr/>
        <w:t>1. Раздел 15 «Заключительные положения» после пункта 15.4. дополнить пунктом 15.5. следующего содержания:</w:t>
      </w:r>
    </w:p>
    <w:p>
      <w:pPr>
        <w:pStyle w:val="TextBody"/>
        <w:rPr/>
      </w:pPr>
      <w:r>
        <w:rPr/>
        <w:t>«В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работодателя.»</w:t>
      </w:r>
    </w:p>
    <w:p>
      <w:pPr>
        <w:pStyle w:val="TextBody"/>
        <w:rPr/>
      </w:pPr>
      <w:r>
        <w:rPr/>
        <w:t>2. Пункт 15.5 считать пунктом 15.6.</w:t>
      </w:r>
    </w:p>
    <w:p>
      <w:pPr>
        <w:pStyle w:val="Heading5"/>
        <w:rPr/>
      </w:pPr>
      <w:r>
        <w:rPr/>
        <w:t>Председатель Общероссийского</w:t>
      </w:r>
    </w:p>
    <w:p>
      <w:pPr>
        <w:pStyle w:val="Heading5"/>
        <w:rPr/>
      </w:pPr>
      <w:r>
        <w:rPr/>
        <w:t>профессионального союза работников</w:t>
      </w:r>
    </w:p>
    <w:p>
      <w:pPr>
        <w:pStyle w:val="Heading5"/>
        <w:rPr/>
      </w:pPr>
      <w:r>
        <w:rPr/>
        <w:t>нефтяной, газовой отраслей</w:t>
      </w:r>
    </w:p>
    <w:p>
      <w:pPr>
        <w:pStyle w:val="Heading5"/>
        <w:rPr/>
      </w:pPr>
      <w:r>
        <w:rPr/>
        <w:t>промышленности и строительства</w:t>
      </w:r>
    </w:p>
    <w:p>
      <w:pPr>
        <w:pStyle w:val="Heading5"/>
        <w:rPr/>
      </w:pPr>
      <w:r>
        <w:rPr/>
        <w:t>Л.А. Миронов</w:t>
      </w:r>
    </w:p>
    <w:p>
      <w:pPr>
        <w:pStyle w:val="Heading5"/>
        <w:rPr/>
      </w:pPr>
      <w:r>
        <w:rPr/>
        <w:t>Сопредседатель Наблюдательного совета</w:t>
      </w:r>
    </w:p>
    <w:p>
      <w:pPr>
        <w:pStyle w:val="Heading5"/>
        <w:rPr/>
      </w:pPr>
      <w:r>
        <w:rPr/>
        <w:t>Общероссийского объединения</w:t>
      </w:r>
    </w:p>
    <w:p>
      <w:pPr>
        <w:pStyle w:val="Heading5"/>
        <w:rPr/>
      </w:pPr>
      <w:r>
        <w:rPr/>
        <w:t>работодателей нефтяной и газовой</w:t>
      </w:r>
    </w:p>
    <w:p>
      <w:pPr>
        <w:pStyle w:val="Heading5"/>
        <w:rPr/>
      </w:pPr>
      <w:r>
        <w:rPr/>
        <w:t>промышленности</w:t>
      </w:r>
    </w:p>
    <w:p>
      <w:pPr>
        <w:pStyle w:val="Heading5"/>
        <w:spacing w:before="120" w:after="60"/>
        <w:rPr/>
      </w:pPr>
      <w:r>
        <w:rPr/>
        <w:t>В.А. Язев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