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Методические указания от 10 апреля 2015 г.</w:t>
      </w:r>
    </w:p>
    <w:p>
      <w:pPr>
        <w:pStyle w:val="Heading2"/>
        <w:spacing w:before="200" w:after="120"/>
        <w:rPr/>
      </w:pPr>
      <w:r>
        <w:rPr/>
        <w:t>«Методика проведения медико-социальной экспертизы и формирование заключений о реабилитационных мероприятиях у детей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