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21 августа 2015 г.</w:t>
      </w:r>
    </w:p>
    <w:p>
      <w:pPr>
        <w:pStyle w:val="Heading2"/>
        <w:spacing w:before="200" w:after="120"/>
        <w:rPr/>
      </w:pPr>
      <w:r>
        <w:rPr/>
        <w:t>Успешный опыт работы в сфере социального обслуживания граждан пожилого возраста (Нижегородская область)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