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№12-3/10/П-2066 от 11 апреля 2016 г.</w:t>
      </w:r>
    </w:p>
    <w:p>
      <w:pPr>
        <w:pStyle w:val="Heading2"/>
        <w:rPr/>
      </w:pPr>
      <w:r>
        <w:rPr/>
        <w:t>«Органам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Федерации, в рамках реализации поручения Заместителя Председателя Правительства Российской Федерации О.Ю. Голодец от 2 марта 2016 года № ОГ-П12-1137 по вопросу устранения замечаний, указанных в письме Счётной палаты Российской Федерации от 19 февраля 2016 года № 01-435/11-04 по результатам проверки расходования средств, направленных Пенсионным фондом Российской Федерации в 2013-2015 годах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 и оказанием адресной социальной помощи неработающим пенсионерам, являющимся получателями страховых пенсий по старости и инвалидности, и обучением компьютерной грамотности неработающих пенсионеров, просит направить предложения по дальнейшему совершенствованию Методики распределения между бюджетами субъектов Российской Федерации субсидий, утвержденной постановлением Правительства Российской Федерации от 10 июня 2011 г. № 456, в части определения:</w:t>
      </w:r>
    </w:p>
    <w:p>
      <w:pPr>
        <w:pStyle w:val="TextBody"/>
        <w:rPr/>
      </w:pPr>
      <w:r>
        <w:rPr/>
        <w:t>1) критериев отбора субъектов Российской Федерации при предоставлении субсидий, предоставляемых Пенсионным фондом Российской Федерации на социальные программы субъектов Российской Федерации по направлениям расходования субсидий:</w:t>
      </w:r>
    </w:p>
    <w:p>
      <w:pPr>
        <w:pStyle w:val="TextBody"/>
        <w:rPr/>
      </w:pPr>
      <w:r>
        <w:rPr/>
        <w:t>- на ремонт объектов стационарных и полустационарных организаций социального обслуживания и приобретение технологического оборудования, предметов длительного пользования для их оснащения, на приобретение автомобильного транспорта для мобильных бригад организаций социального обслуживания, предоставляющих социальные услуги на мобильной основе, для оказания неотложных социальных и медико-социальных услуг пожилым людям;</w:t>
      </w:r>
    </w:p>
    <w:p>
      <w:pPr>
        <w:pStyle w:val="TextBody"/>
        <w:rPr/>
      </w:pPr>
      <w:r>
        <w:rPr/>
        <w:t>- на строительство (реконструкцию) стационарных и полустационарных организаций социального обслуживания и (или) их объектов при наличии в субъекте Российской Федерации очередности на размещение в учреждениях социального обслуживания населения;</w:t>
      </w:r>
    </w:p>
    <w:p>
      <w:pPr>
        <w:pStyle w:val="TextBody"/>
        <w:rPr/>
      </w:pPr>
      <w:r>
        <w:rPr/>
        <w:t>- на обучение компьютерной грамотности неработающих пенсионеров, осуществляемое в целях обеспечения доступности к государственным информационным ресурсам лиц пожилого возраста;</w:t>
      </w:r>
    </w:p>
    <w:p>
      <w:pPr>
        <w:pStyle w:val="TextBody"/>
        <w:rPr/>
      </w:pPr>
      <w:r>
        <w:rPr/>
        <w:t>2) показателей результативности использования субсидий, предоставляемых Пенсионным фондом Российской Федерации на социальные программы субъектов Российской Федерации по направления расходования субсидий:</w:t>
      </w:r>
    </w:p>
    <w:p>
      <w:pPr>
        <w:pStyle w:val="TextBody"/>
        <w:rPr/>
      </w:pPr>
      <w:r>
        <w:rPr/>
        <w:t>- на ремонт объектов стационарных и полустационарных организаций социального обслуживания и приобретение технологического оборудования и предметов длительного пользования для их оснащения, на приобретение автомобильного транспорта для мобильных бригад организаций социального обслуживания, предоставляющих социальные услуги на мобильной основе, для оказания неотложных социальных и медико-социальных услуг пожилым людям;</w:t>
      </w:r>
    </w:p>
    <w:p>
      <w:pPr>
        <w:pStyle w:val="TextBody"/>
        <w:rPr/>
      </w:pPr>
      <w:r>
        <w:rPr/>
        <w:t>- на строительство (реконструкцию) стационарных и полустационарных организаций социального обслуживания и (или) их объектов при наличии в субъекте Российской Федерации очередности на размещение в учреждениях социального обслуживания населения;</w:t>
      </w:r>
    </w:p>
    <w:p>
      <w:pPr>
        <w:pStyle w:val="TextBody"/>
        <w:rPr/>
      </w:pPr>
      <w:r>
        <w:rPr/>
        <w:t>- на обучение компьютерной грамотности неработающих пенсионеров, осуществляемое в целях обеспечения доступности к государственным информационным ресурсам лиц пожилого возраста;</w:t>
      </w:r>
    </w:p>
    <w:p>
      <w:pPr>
        <w:pStyle w:val="TextBody"/>
        <w:rPr/>
      </w:pPr>
      <w:r>
        <w:rPr/>
        <w:t>3) критериев распределения субсидий субъектам Российской Федерации, так как Счетная палата Российской Федерации полагает не эффективным определение размера субсидии, предоставляемой бюджету субъекта Российской Федерации на социальную программу в части укрепления материально-технической базы организаций социального обслуживания, в зависимости от численности неработающих пенсионеров, проживающих в стационарных учреждениях социального обслуживания, и неработающих пенсионеров, обслуживаемых на дому и в полустационарных учреждениях социального обслуживания, по направлениям расходования субсидий:</w:t>
      </w:r>
    </w:p>
    <w:p>
      <w:pPr>
        <w:pStyle w:val="TextBody"/>
        <w:rPr/>
      </w:pPr>
      <w:r>
        <w:rPr/>
        <w:t>- на ремонт объектов стационарных и полустационарных организаций социального обслуживания и приобретение технологического оборудования и предметов длительного пользования для их оснащения, на приобретение автомобильного транспорта для мобильных бригад организаций социального обслуживания, предоставляющих социальные услуги на мобильной основе, для оказания неотложных социальных и медико-социальных услуг пожилым людям;</w:t>
      </w:r>
    </w:p>
    <w:p>
      <w:pPr>
        <w:pStyle w:val="TextBody"/>
        <w:rPr/>
      </w:pPr>
      <w:r>
        <w:rPr/>
        <w:t>- на строительство (реконструкцию) стационарных и полустационарных организаций социального обслуживания и (или) их объектов при наличии в субъекте Российской Федерации очередности на размещение в учреждениях социального обслуживания населения;</w:t>
      </w:r>
    </w:p>
    <w:p>
      <w:pPr>
        <w:pStyle w:val="TextBody"/>
        <w:rPr/>
      </w:pPr>
      <w:r>
        <w:rPr/>
        <w:t>- на обучение компьютерной грамотности неработающих пенсионеров, осуществляемое в целях обеспечения доступности к государственным информационным ресурсам лиц пожилого возраста.</w:t>
      </w:r>
    </w:p>
    <w:p>
      <w:pPr>
        <w:pStyle w:val="TextBody"/>
        <w:rPr/>
      </w:pPr>
      <w:r>
        <w:rPr/>
        <w:t>Информацию просим представить в срок до 1 мая 2016 года в установленном порядке, а также по электронной почте, в том числе в формате word (e-mail: haritonovaoa@rosmintrud.ru).</w:t>
      </w:r>
    </w:p>
    <w:p>
      <w:pPr>
        <w:pStyle w:val="TextBody"/>
        <w:rPr/>
      </w:pPr>
      <w:r>
        <w:rPr/>
        <w:t xml:space="preserve">Контактное лицо: Харитонова О.А. тел: (8 495) 926-99-01 доб. 1237. </w:t>
      </w:r>
    </w:p>
    <w:p>
      <w:pPr>
        <w:pStyle w:val="Heading5"/>
        <w:spacing w:before="120" w:after="60"/>
        <w:rPr/>
      </w:pPr>
      <w:r>
        <w:rPr/>
        <w:t>Первый 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