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№12-2/10/П-2431 от 25 апреля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Федерации, в соответствии с Постановлением Правительства Российской Федерации от 14 апреля 2016 года № 309 «Об утверждении правил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детей, находящихся в трудной жизненной ситуации» направляет на согласование расчет потребности в средствах федерального бюджета, подготовленный на основании предложений органов исполнительной власти субъектов Российской Федерации и в пределах лимита, предусмотренного в федеральном бюджете Минтруду России на указанные цели.</w:t>
      </w:r>
    </w:p>
    <w:p>
      <w:pPr>
        <w:pStyle w:val="TextBody"/>
        <w:rPr/>
      </w:pPr>
      <w:r>
        <w:rPr/>
        <w:t>Одновременно просим представить в Минтруд России заявку на получение иных межбюджетных трансфертов на финансовое обеспечение расходов по отдыху и оздоровлению детей, находящихся в трудной жизненной ситуации, а также гарантийное письмо руководителя высшего исполнительного органа государственной власти субъекта Российской Федерации с обязательством сохранения субъектом Российской Федерации предусмотренных в бюджете субъекта Российской Федерации и муниципальных образований на 2016 год объемов финансирования детской оздоровительной кампании.</w:t>
      </w:r>
    </w:p>
    <w:p>
      <w:pPr>
        <w:pStyle w:val="TextBody"/>
        <w:rPr/>
      </w:pPr>
      <w:r>
        <w:rPr/>
        <w:t>В гарантийном письме просим указать отдельно объемы средств, предусмотренных в бюджете субъекта Российской Федерации и бюджетах муниципальных образований на организацию отдыха и оздоровления детей школьного возраста в детских лагерях без учета средств на проведение капитального ремонта лагерей.</w:t>
      </w:r>
    </w:p>
    <w:p>
      <w:pPr>
        <w:pStyle w:val="TextBody"/>
        <w:rPr/>
      </w:pPr>
      <w:r>
        <w:rPr/>
        <w:t xml:space="preserve">Расчет потребности и форма заявки размещены на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Согласование расчета потребности, гарантийное письмо и заявку просим направить в Минтруд России не позднее 27 апреля 2016 года.</w:t>
      </w:r>
    </w:p>
    <w:p>
      <w:pPr>
        <w:pStyle w:val="TextBody"/>
        <w:rPr/>
      </w:pPr>
      <w:r>
        <w:rPr/>
        <w:t>Контактный телефон: (495) 926-99-01*12-20 Дряхлушина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TextBody"/>
        <w:rPr/>
      </w:pPr>
      <w:r>
        <w:rPr/>
        <w:t xml:space="preserve">Адрес электронной почты:DryahlushinaLG@rosmintrud.ru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