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1 июля 2016 г.</w:t>
      </w:r>
    </w:p>
    <w:p>
      <w:pPr>
        <w:pStyle w:val="Heading2"/>
        <w:spacing w:before="200" w:after="120"/>
        <w:rPr/>
      </w:pPr>
      <w:r>
        <w:rPr/>
        <w:t>«Итоговый отчет о мониторинге принятых в 2015 году решений федеральных государственных учреждений медико-социальной экспертизы об отказах в установлении инвалидности детям в возрасте до 18 лет»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