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№12-4/10/В-5582 от 10 августа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Согласно пункту 3 Перечня государственных программ Российской Федерации, утвержденного распоряжением Правительства Российской Федерации от 11 ноября 2010 г. № 1950-р, Минтруд России является ответственным исполнителем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 (далее – Госпрограмма).</w:t>
      </w:r>
    </w:p>
    <w:p>
      <w:pPr>
        <w:pStyle w:val="TextBody"/>
        <w:rPr/>
      </w:pPr>
      <w:r>
        <w:rPr/>
        <w:t>В настоящее время Минтрудом России проводится работа по подготовке проекта новой редакции Госпрограммы.</w:t>
      </w:r>
    </w:p>
    <w:p>
      <w:pPr>
        <w:pStyle w:val="TextBody"/>
        <w:rPr/>
      </w:pPr>
      <w:r>
        <w:rPr/>
        <w:t>Сведения о показателях (индикаторах) Госпрограммы в разрезе субъектов Российской Федерации отражены в таблице 1А по форме, утвержденной приказом Минэкономразвития России от 20 ноября 2013 г. № 690 (Приложение № 1 к методическим указаниям по разработке и реализации государственных программ Российской Федерации).</w:t>
      </w:r>
    </w:p>
    <w:p>
      <w:pPr>
        <w:pStyle w:val="TextBody"/>
        <w:rPr/>
      </w:pPr>
      <w:r>
        <w:rPr/>
        <w:t>Данная таблица сформирована на основании данных, поступивших в Минтруд России от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 xml:space="preserve">Учитывая изложенное, просим согласовать таблицу или направить свои замечания и предложения в срок до 1 сентября 216 года, предварительно по адресу электронной почты: </w:t>
      </w:r>
      <w:hyperlink r:id="rId2">
        <w:r>
          <w:rPr>
            <w:rStyle w:val="InternetLink"/>
          </w:rPr>
          <w:t>TimkovaIV@rosmintrud.гu</w:t>
        </w:r>
      </w:hyperlink>
    </w:p>
    <w:p>
      <w:pPr>
        <w:pStyle w:val="TextBody"/>
        <w:rPr/>
      </w:pPr>
      <w:r>
        <w:rPr/>
        <w:t xml:space="preserve">Приложение: на 22 л.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mkovaIV@rosmintrud.&#1075;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