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25 ноября 2016 г.</w:t>
      </w:r>
    </w:p>
    <w:p>
      <w:pPr>
        <w:pStyle w:val="Heading2"/>
        <w:rPr/>
      </w:pPr>
      <w:r>
        <w:rPr/>
        <w:t>«Протокол оценки конкурсной документации, представленной субъектами Российской Федерации,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предусмотренной приложением №2 к Порядку и условиям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утвержденными приказом Минтруда России от 29 июля 2016 г. № 398н «Об утверждении порядка и условий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а также регламента работы и состава конкурсной комиссии»»</w:t>
      </w:r>
    </w:p>
    <w:p>
      <w:pPr>
        <w:pStyle w:val="TextBody"/>
        <w:rPr/>
      </w:pPr>
      <w:r>
        <w:rPr/>
        <w:t xml:space="preserve">г. Москва 25 ноября 2016 года 14:00 мск </w:t>
      </w:r>
    </w:p>
    <w:p>
      <w:pPr>
        <w:pStyle w:val="TextBody"/>
        <w:rPr/>
      </w:pPr>
      <w:r>
        <w:rPr/>
        <w:t>1. Заказчик: Министерство труда и социальной защиты Российской Федерации.</w:t>
      </w:r>
    </w:p>
    <w:p>
      <w:pPr>
        <w:pStyle w:val="TextBody"/>
        <w:rPr/>
      </w:pPr>
      <w:r>
        <w:rPr/>
        <w:t>2. Объекты рассмотрения: документы, для участия в конкурсном отборе для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представленные 8 субъектами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Удмуртская Республика;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Чувашская Республика;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Пермский край;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Калининградская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Нижегородская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Самарская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Свердловская область;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Тюменская область. </w:t>
      </w:r>
    </w:p>
    <w:p>
      <w:pPr>
        <w:pStyle w:val="TextBody"/>
        <w:rPr/>
      </w:pPr>
      <w:r>
        <w:rPr/>
        <w:t xml:space="preserve">3. Процедура оценки поданной конкурсной документации, представленной субъектами Российской Федерации на участие в конкурсном отборе проводилась конкурсной комиссией по проведению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 (далее – Конкурсная комиссия) по адресу: г. Москва, ул. Ильинка, д. 21, в следующем составе: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Заместитель председателя Конкурсной комиссии: А.В. Гусенкова.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Ответственный секретарь Конкурсной комиссии: К.П. Афонина.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Члены Конкурсной комиссии: Благирева Е.Н., Воловец С.А., Гордеева М.В., Дымочка М.А., Калинин В.В., Лебедев Е.В., Сачко Ю.М., Фомичева Ю.А. </w:t>
      </w:r>
    </w:p>
    <w:p>
      <w:pPr>
        <w:pStyle w:val="TextBody"/>
        <w:rPr/>
      </w:pPr>
      <w:r>
        <w:rPr/>
        <w:t>Кворум имеется.</w:t>
      </w:r>
    </w:p>
    <w:p>
      <w:pPr>
        <w:pStyle w:val="TextBody"/>
        <w:rPr/>
      </w:pPr>
      <w:r>
        <w:rPr/>
        <w:t xml:space="preserve">4. Оценка документов для участия в конкурсном отборе проводилась Конкурсной комиссией в соответствии с критериями оценки документов, представленных субъектами Российской Федерации для участия в конкурсном отборе, и коэффициентами их значимости, представленными приложением № 2 к Порядку и условиям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утвержденными приказом Минтруда России от 29 июля 2016 г. № 398н: </w:t>
      </w:r>
    </w:p>
    <w:tbl>
      <w:tblPr>
        <w:tblW w:w="20571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891"/>
        <w:gridCol w:w="1817"/>
        <w:gridCol w:w="1532"/>
        <w:gridCol w:w="1817"/>
        <w:gridCol w:w="2117"/>
        <w:gridCol w:w="3227"/>
        <w:gridCol w:w="2432"/>
        <w:gridCol w:w="1397"/>
        <w:gridCol w:w="1562"/>
        <w:gridCol w:w="2072"/>
        <w:gridCol w:w="707"/>
      </w:tblGrid>
      <w:tr>
        <w:trPr/>
        <w:tc>
          <w:tcPr>
            <w:tcW w:w="189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субъекта Российской Федерации</w:t>
            </w:r>
          </w:p>
        </w:tc>
        <w:tc>
          <w:tcPr>
            <w:tcW w:w="18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Участие субъекта Российской Федерации в пилотном проекте Министерства здравоохранения Российской Федерации «Развитие системы медицинской реабилитации в Российской Федерации»</w:t>
            </w:r>
          </w:p>
        </w:tc>
        <w:tc>
          <w:tcPr>
            <w:tcW w:w="15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Организация медицинской реабилитации в субъекте Российской Федерации </w:t>
            </w:r>
          </w:p>
        </w:tc>
        <w:tc>
          <w:tcPr>
            <w:tcW w:w="18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в субъекте Российской Федерации опыта работы по формированию системы комплексной реабилитации и (или) абилитации инвалидов, в том числе детей-инвалидов</w:t>
            </w:r>
          </w:p>
        </w:tc>
        <w:tc>
          <w:tcPr>
            <w:tcW w:w="21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межведомственного взаимодействия при оказании комплексной реабилитации и (или) абилитации инвалидов, в том числе детей-инвалидов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развития в субъекте Российской Федерации организационно-технического потенциала, позволяющего организовать межведомственное взаимодействие</w:t>
            </w:r>
          </w:p>
        </w:tc>
        <w:tc>
          <w:tcPr>
            <w:tcW w:w="24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Уровень внутриведомственного взаимодействия при оказании услуг по реабилитации в сфере образования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Наличие электронной базы данных, содержащей сведения о лицах, признанных инвалидами</w:t>
            </w:r>
          </w:p>
        </w:tc>
        <w:tc>
          <w:tcPr>
            <w:tcW w:w="15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Объем бюджетных ассигнований, планируемых в бюджете субъекта Российской Федерации на финансовое обеспечение мероприятий программы субъекта Российской Федерации в рамках пилотного проекта 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Перспективы развития предоставления реабилитационных и абилитационных услуг инвалидам, в том числе детям-инвалидам</w:t>
            </w:r>
          </w:p>
        </w:tc>
        <w:tc>
          <w:tcPr>
            <w:tcW w:w="7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Итого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Удмуртская Республика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7,5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49,5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92,5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22,5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82,5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2,5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92,5</w:t>
            </w:r>
          </w:p>
        </w:tc>
      </w:tr>
      <w:tr>
        <w:trPr/>
        <w:tc>
          <w:tcPr>
            <w:tcW w:w="189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153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81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11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322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43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0</w:t>
            </w:r>
          </w:p>
        </w:tc>
        <w:tc>
          <w:tcPr>
            <w:tcW w:w="7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</w:t>
            </w:r>
          </w:p>
        </w:tc>
      </w:tr>
    </w:tbl>
    <w:p>
      <w:pPr>
        <w:pStyle w:val="TextBody"/>
        <w:rPr/>
      </w:pPr>
      <w:r>
        <w:rPr/>
        <w:t xml:space="preserve">5. Рейтинг документов, представленных субъектами Российской Федерации, для участия в конкурсном отборе: </w:t>
      </w:r>
    </w:p>
    <w:tbl>
      <w:tblPr>
        <w:tblW w:w="621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06"/>
        <w:gridCol w:w="3452"/>
        <w:gridCol w:w="2057"/>
      </w:tblGrid>
      <w:tr>
        <w:trPr/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Конкурсная документация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субъекта Российской Федерации</w:t>
            </w:r>
          </w:p>
        </w:tc>
        <w:tc>
          <w:tcPr>
            <w:tcW w:w="20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Количество баллов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Удмуртская Республика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 </w:t>
            </w:r>
          </w:p>
        </w:tc>
        <w:tc>
          <w:tcPr>
            <w:tcW w:w="345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  <w:tc>
          <w:tcPr>
            <w:tcW w:w="205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22,5</w:t>
            </w:r>
          </w:p>
        </w:tc>
      </w:tr>
    </w:tbl>
    <w:p>
      <w:pPr>
        <w:pStyle w:val="TextBody"/>
        <w:rPr/>
      </w:pPr>
      <w:r>
        <w:rPr/>
        <w:t>6. Конкурсная комиссия провела оценку документов для участия в конкурсном отборе, представленных субъектами Российской Федерации, и определила победителей конкурсного отбора: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Свердловская область;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Пермский край.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