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№135н от 2 февраля 2017 г.</w:t>
      </w:r>
    </w:p>
    <w:p>
      <w:pPr>
        <w:pStyle w:val="Heading2"/>
        <w:rPr/>
      </w:pPr>
      <w:r>
        <w:rPr/>
        <w:t>«Об утверждении форм заявки на финансовое обеспечение расходов бюджета субъекта Российской Федерации и бюджета г. Байконура, источником финансового обеспечения которых являются субвенции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граждан, отчета об объеме указанных расходов, сведений о фактической численности получателей мер социальной поддержки по оплате жилищно-коммунальных услуг, Порядка составления и представления указанных документов в Министерство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5 Правил предоставления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субвенции, утвержденных постановлением Правительства Российской Федерации от 12 декабря 2007 г. № 861 (Собрание законодательства Российской Федерации, 2007, № 51, ст. 6373; 2009, № 6, ст. 737; № 41, ст. 4784; 2010, № 50, ст. 6729; 2012, № 37, ст. 5002; 2013, № 13, ст. 1559; 2014, № 43, ст. 5924; 2016, № 24, ст. 3525; 2017, № 1, ст. 187),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заявки на финансовое обеспечение расходов бюджета субъекта Российской Федерации и бюджета г. Байконура, источником финансового обеспечения которых является субвенция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(далее – заявка), согласно приложению № 1;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об объеме расходов бюджета субъекта Российской Федерации и бюджета г. Байконура, источником финансового обеспечения которых является субвенция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(далее – отчет)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 фактической численности получателей мер социальной поддержки по оплате жилищно-коммунальных услуг (далее – сведения)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составления и представления органами государственной власти субъектов Российской Федерации и администрацией г. Байконура заявки, отчета, сведений в Министерство труда и социальной защиты Российской Федерации согласно приложению № 4. </w:t>
      </w:r>
    </w:p>
    <w:p>
      <w:pPr>
        <w:pStyle w:val="TextBody"/>
        <w:rPr/>
      </w:pPr>
      <w:r>
        <w:rPr/>
        <w:t>2. Департаменту управления делами (А.Г. Китин) обеспечить сопровождение программных комплексов для автоматизации процесса формирования заявки, отчета и сведений органами государственной власти субъектов Российской Федерации и администрацией г. Байконура.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