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6 февраля 2017 г.</w:t>
      </w:r>
    </w:p>
    <w:p>
      <w:pPr>
        <w:pStyle w:val="Heading2"/>
        <w:rPr/>
      </w:pPr>
      <w:r>
        <w:rPr/>
        <w:t>«Информация для заключения соглашения о предоставлении субсидии в рамках госпрограммы Доступная среда »</w:t>
      </w:r>
    </w:p>
    <w:p>
      <w:pPr>
        <w:pStyle w:val="TextBody"/>
        <w:rPr/>
      </w:pPr>
      <w:r>
        <w:rPr/>
        <w:t xml:space="preserve">ВНИМАНИЮ СУБЪЕКТОВ РОССИЙСКОЙ ФЕДЕРАЦИИ </w:t>
      </w:r>
    </w:p>
    <w:p>
      <w:pPr>
        <w:pStyle w:val="TextBody"/>
        <w:rPr/>
      </w:pPr>
      <w:r>
        <w:rPr/>
        <w:t>При заключении соглашений по предоставлению субсидии из федерального бюджета в рамках государственной программы Российской Федерации «Доступная среда» на 2011-2020 годы в государственной интегрированной информационной системе управления общественными финансами «Электронный бюджет» (далее соответственно – система, Госпрограмма) СУБЪЕКТЫ РОССИЙСКОЙ ФЕДЕРАЦИИ:</w:t>
      </w:r>
    </w:p>
    <w:p>
      <w:pPr>
        <w:pStyle w:val="TextBody"/>
        <w:rPr/>
      </w:pPr>
      <w:r>
        <w:rPr/>
        <w:t>1. При наличии черновика соглашения, сформированного Минтрудом России</w:t>
      </w:r>
      <w:hyperlink w:anchor="_edn1">
        <w:r>
          <w:rPr>
            <w:rStyle w:val="InternetLink"/>
          </w:rPr>
          <w:t>[i]</w:t>
        </w:r>
      </w:hyperlink>
      <w:r>
        <w:rPr/>
        <w:t xml:space="preserve"> «видят» в системе, проект соглашения и должны заполнить (проверить) его по своей компетенции вне зависимости от факта предоставления/не предоставления пакета документов, необходимых для заключения соглашения (за исключением Брянской области, Республика Северная Осетия-Алания).</w:t>
      </w:r>
    </w:p>
    <w:p>
      <w:pPr>
        <w:pStyle w:val="TextBody"/>
        <w:rPr/>
      </w:pPr>
      <w:r>
        <w:rPr/>
        <w:t>2. Во вкладке «Лица, подписывающие соглашения» заполняются/проверяются реквизиты получателя с указанием уполномоченного органа, ФИО подписанта и нормативного акта, на основании которого подписант заключает соглашение (указывается в именительном падеже, если система предлагает это сделать, нужно согласиться с предложенным вариантом).</w:t>
      </w:r>
    </w:p>
    <w:p>
      <w:pPr>
        <w:pStyle w:val="TextBody"/>
        <w:rPr/>
      </w:pPr>
      <w:r>
        <w:rPr/>
        <w:t>3. Во вкладке «Заголовочная часть», нажав «треугольник», который находится в верхнем правом углу, в строке «Наименование и реквизиты нормативного акта субъекта Российской Федерации» указать наименование и реквизиты правого акта субъекта Российской Федерации об утверждении программы (заполняется в родительном падеже).</w:t>
      </w:r>
    </w:p>
    <w:p>
      <w:pPr>
        <w:pStyle w:val="TextBody"/>
        <w:rPr/>
      </w:pPr>
      <w:r>
        <w:rPr/>
        <w:t>4. Пункт 2.2 заполняется автоматически после заполнения приложения 1. После того как приложение 1 будет заполнено нужно вернуться в указанную в пункте 3 вкладку и проверить правильность заполнения пункта 2.2.</w:t>
      </w:r>
    </w:p>
    <w:p>
      <w:pPr>
        <w:pStyle w:val="TextBody"/>
        <w:rPr/>
      </w:pPr>
      <w:r>
        <w:rPr/>
        <w:t xml:space="preserve">5. Перейти во вкладку «Приложения к соглашению». В приложении 1заполнить графу 5, указав средства бюджета субъекта Российской Федерации ПЛЮС предусмотренная субсидия, по каждому направлению. Объем средств, которые заполняются должен быть подтвержден выпиской из закона из бюджета субъекта Российской Федерации (либо сводной бюджетной росписью), в которой субсидия из федерального бюджета учтена в доходной части бюджета субъекта Российской Федерации. </w:t>
      </w:r>
    </w:p>
    <w:p>
      <w:pPr>
        <w:pStyle w:val="TextBody"/>
        <w:rPr/>
      </w:pPr>
      <w:r>
        <w:rPr/>
        <w:t>6. В графе 8 приложения 1 необходимо указать объем средств муниципальных бюджетов, если они предусмотрены.</w:t>
      </w:r>
    </w:p>
    <w:p>
      <w:pPr>
        <w:pStyle w:val="TextBody"/>
        <w:rPr/>
      </w:pPr>
      <w:r>
        <w:rPr/>
        <w:t>7. После совершения действий, указанных в пунктах 5 и 6, в графе 14 приложения 1 уровень софинансирования из федерального бюджета должен рассчитаться автоматически. Полученное значение необходимо сверить с приложением № 1 к постановлению Правительства Российской Федерации от 24 января 2017 г. N 68, которым внесены изменения в Госпрограмму.</w:t>
      </w:r>
    </w:p>
    <w:p>
      <w:pPr>
        <w:pStyle w:val="TextBody"/>
        <w:rPr/>
      </w:pPr>
      <w:r>
        <w:rPr/>
        <w:t>8. В приложении 2 необходимо заполнить значения ДВУХ показателей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 в соответствии с программой субъекта Российской Федерации (в процентах) и в абсолютных значениях (единицах), который рассчитывается как сумма количества объектов, дооборудованных в 2016 году (нарастающим итогом, указывается в соответствии с отчетом за 2016 год) плюс количество объектов, которое субъектом Российской Федерации запланировано к дооборудованию в 2017 году.</w:t>
      </w:r>
    </w:p>
    <w:p>
      <w:pPr>
        <w:pStyle w:val="TextBody"/>
        <w:rPr/>
      </w:pPr>
      <w:r>
        <w:rPr/>
        <w:t>ВНИМАНИЕ!! Количество объектов, планируемое к дооборудованию в 2017 году представлялось субъектами Российской Федерации при расчете субсидии на 2017 в ответ на письмо Минтруда России от 31.10.2016 № 13-1/10/В-8033 и НЕ МОЖЕТ БЫТЬ уменьшено.</w:t>
      </w:r>
    </w:p>
    <w:p>
      <w:pPr>
        <w:pStyle w:val="TextBody"/>
        <w:rPr/>
      </w:pPr>
      <w:r>
        <w:rPr/>
        <w:t>9. Также в приложении 2 необходимо заполнить значения показателей:</w:t>
      </w:r>
    </w:p>
    <w:p>
      <w:pPr>
        <w:pStyle w:val="TextBody"/>
        <w:numPr>
          <w:ilvl w:val="0"/>
          <w:numId w:val="1"/>
        </w:numPr>
        <w:tabs>
          <w:tab w:val="left" w:pos="0" w:leader="none"/>
        </w:tabs>
        <w:spacing w:before="0" w:after="0"/>
        <w:ind w:left="707" w:hanging="283"/>
        <w:rPr/>
      </w:pPr>
      <w:r>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субъекте Российской Федерации»; </w:t>
      </w:r>
    </w:p>
    <w:p>
      <w:pPr>
        <w:pStyle w:val="TextBody"/>
        <w:numPr>
          <w:ilvl w:val="0"/>
          <w:numId w:val="1"/>
        </w:numPr>
        <w:tabs>
          <w:tab w:val="left" w:pos="0" w:leader="none"/>
        </w:tabs>
        <w:spacing w:before="0" w:after="0"/>
        <w:ind w:left="707" w:hanging="283"/>
        <w:rPr/>
      </w:pPr>
      <w:r>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субъекте Российской Федерации»; </w:t>
      </w:r>
    </w:p>
    <w:p>
      <w:pPr>
        <w:pStyle w:val="TextBody"/>
        <w:numPr>
          <w:ilvl w:val="0"/>
          <w:numId w:val="1"/>
        </w:numPr>
        <w:tabs>
          <w:tab w:val="left" w:pos="0" w:leader="none"/>
        </w:tabs>
        <w:spacing w:before="0" w:after="0"/>
        <w:ind w:left="707" w:hanging="283"/>
        <w:rPr/>
      </w:pPr>
      <w:r>
        <w:rPr/>
        <w:t xml:space="preserve">«Доля детей-инвалидов в возрасте от 5 до 18 лет, получающих дополнительное образование, от общей численности детей-инвалидов данного возраста»; </w:t>
      </w:r>
    </w:p>
    <w:p>
      <w:pPr>
        <w:pStyle w:val="TextBody"/>
        <w:numPr>
          <w:ilvl w:val="0"/>
          <w:numId w:val="1"/>
        </w:numPr>
        <w:tabs>
          <w:tab w:val="left" w:pos="0" w:leader="none"/>
        </w:tabs>
        <w:ind w:left="707" w:hanging="283"/>
        <w:rPr/>
      </w:pPr>
      <w:r>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w:t>
      </w:r>
    </w:p>
    <w:p>
      <w:pPr>
        <w:pStyle w:val="TextBody"/>
        <w:rPr/>
      </w:pPr>
      <w:r>
        <w:rPr/>
        <w:t>которые должны быть указаны в соответствии с подтверждающими письмами Минобрнауки России и Минспорта России.</w:t>
      </w:r>
      <w:hyperlink w:anchor="_edn2">
        <w:r>
          <w:rPr>
            <w:rStyle w:val="InternetLink"/>
          </w:rPr>
          <w:t>[ii]</w:t>
        </w:r>
      </w:hyperlink>
    </w:p>
    <w:p>
      <w:pPr>
        <w:pStyle w:val="TextBody"/>
        <w:rPr/>
      </w:pPr>
      <w:r>
        <w:rPr/>
        <w:t>10. Перейти во вкладку «Разделы соглашения» пункт 6 «Иные условия». Открыв данный пункт в разделе 6.1.1, заполнить, указывав объем средств бюджета субъекта Российской Федерации (цифрами и прописью в рублях), в том числе в разбивке по направлениям. Эти значения должны быть равны объемам средств предусмотренных ТОЛЬКО за счет бюджетов субъектов Российской Федерации, без учета объемов субсидии из федерального бюджета.</w:t>
      </w:r>
    </w:p>
    <w:p>
      <w:pPr>
        <w:pStyle w:val="TextBody"/>
        <w:rPr/>
      </w:pPr>
      <w:r>
        <w:rPr/>
        <w:t>11. Перейти во вкладку «Платежные реквизиты Получателя» и заполнить их исходя из справочников предлагаемых системой.</w:t>
      </w:r>
    </w:p>
    <w:p>
      <w:pPr>
        <w:pStyle w:val="TextBody"/>
        <w:rPr/>
      </w:pPr>
      <w:r>
        <w:rPr/>
        <w:t xml:space="preserve">12. В случае невозможности заполнения каких либо пунктов, либо в случае возникновения проблем необходимо писать на электронную почту технической поддержки Минфина России </w:t>
      </w:r>
      <w:hyperlink r:id="rId2">
        <w:r>
          <w:rPr>
            <w:rStyle w:val="InternetLink"/>
          </w:rPr>
          <w:t>support.budgetplan@minfin.ru</w:t>
        </w:r>
      </w:hyperlink>
      <w:r>
        <w:rPr/>
        <w:t xml:space="preserve"> и в копии на адрес </w:t>
      </w:r>
      <w:hyperlink r:id="rId3">
        <w:r>
          <w:rPr>
            <w:rStyle w:val="InternetLink"/>
          </w:rPr>
          <w:t>ShchekinaEL@rosmmintrud.ru</w:t>
        </w:r>
      </w:hyperlink>
      <w:r>
        <w:rPr/>
        <w:t xml:space="preserve"> для организации взаимодействия с сотрудниками технической поддержки, а также контроля со стороны Минтруда России за своевременным устранением этих сложностей субъектов Российской Федерации.</w:t>
      </w:r>
    </w:p>
    <w:p>
      <w:pPr>
        <w:pStyle w:val="TextBody"/>
        <w:rPr/>
      </w:pPr>
      <w:r>
        <w:rPr/>
        <w:t xml:space="preserve">ВСЕ вышеуказанные действия необходимо завершить к 15-00 по московскому времени 07.02.2017 (вторник). </w:t>
      </w:r>
    </w:p>
    <w:p>
      <w:pPr>
        <w:pStyle w:val="TextBody"/>
        <w:rPr/>
      </w:pPr>
      <w:r>
        <w:rPr/>
        <w:t xml:space="preserve">Информацию о завершении внесения вышеуказанных изменений в проект соглашения необходимо направить в Минтруд России по электронной почте Залешину Евгению Евгеньевичу </w:t>
      </w:r>
      <w:hyperlink r:id="rId4">
        <w:r>
          <w:rPr>
            <w:rStyle w:val="InternetLink"/>
          </w:rPr>
          <w:t>ZaleshinEE@rosmintrud.ru</w:t>
        </w:r>
      </w:hyperlink>
      <w:r>
        <w:rPr/>
        <w:t xml:space="preserve"> (доб. тел.13-12) в ТЕМЕ письма ОБЯЗАТЕЛЬНО УКАЗАТЬ наименование субъекта Российской Федерации и слова «Изменения внесены». </w:t>
      </w:r>
    </w:p>
    <w:p>
      <w:pPr>
        <w:pStyle w:val="TextBody"/>
        <w:rPr/>
      </w:pPr>
      <w:r>
        <w:rPr/>
        <w:t>Информация по организации субъектами Российской Федерации работы по заполнению проектов соглашений в системе постоянно представляется Министру труда и социальной защиты Российской Федерации М.А.Топилину.</w:t>
      </w:r>
    </w:p>
    <w:p>
      <w:pPr>
        <w:pStyle w:val="TextBody"/>
        <w:rPr/>
      </w:pPr>
      <w:r>
        <w:rPr/>
        <w:t>Кроме того информация о ходе заключения соглашений будет представлена Заместителю Председателя Правительства Российской Федерации О.Ю.Голодец 08.02.2017 (среда).</w:t>
      </w:r>
    </w:p>
    <w:p>
      <w:pPr>
        <w:pStyle w:val="TextBody"/>
        <w:rPr/>
      </w:pPr>
      <w:r>
        <w:rPr/>
        <w:t xml:space="preserve">ОБРАЩАЕТСЯ ВНИМАНИЕ, что в целях своевременной подготовки доклада и обобщения информации, Минтруд России будет вынужден включить в перечень субъектов Российской Федерации, как не организовавших работу в системе, те субъекты Российской Федерации, которые завершат вышеуказанные действия после 15-00 по московскому времени 07.02.2017 (вторник). </w:t>
      </w:r>
    </w:p>
    <w:p>
      <w:pPr>
        <w:pStyle w:val="TextBody"/>
        <w:rPr/>
      </w:pPr>
      <w:r>
        <w:rPr/>
      </w:r>
    </w:p>
    <w:p>
      <w:pPr>
        <w:pStyle w:val="HorizontalLine"/>
        <w:pBdr>
          <w:bottom w:val="double" w:sz="2" w:space="0" w:color="808080"/>
        </w:pBdr>
        <w:rPr/>
      </w:pPr>
      <w:r>
        <w:rPr/>
      </w:r>
    </w:p>
    <w:p>
      <w:pPr>
        <w:pStyle w:val="TextBody"/>
        <w:rPr/>
      </w:pPr>
      <w:hyperlink w:anchor="_ednref1">
        <w:r>
          <w:rPr>
            <w:rStyle w:val="InternetLink"/>
          </w:rPr>
          <w:t>[i]</w:t>
        </w:r>
      </w:hyperlink>
      <w:r>
        <w:rPr/>
        <w:t xml:space="preserve"> По состоянию на 04.02.2017 все черновики соглашений сформированы Минтрудом России.</w:t>
      </w:r>
    </w:p>
    <w:p>
      <w:pPr>
        <w:pStyle w:val="TextBody"/>
        <w:spacing w:before="0" w:after="283"/>
        <w:rPr/>
      </w:pPr>
      <w:hyperlink w:anchor="_ednref2">
        <w:r>
          <w:rPr>
            <w:rStyle w:val="InternetLink"/>
          </w:rPr>
          <w:t>[ii]</w:t>
        </w:r>
      </w:hyperlink>
      <w:r>
        <w:rPr/>
        <w:t xml:space="preserve"> Значения показателей заполняются в зависимости от того по какому количеству направлений предоставляется субсидия из федерального бюджета. Если субсидия не предоставляется по одному из направлений, то значения показателей для этого направления не были заполнены Минтрудом России, и искать их в приложении не нужно.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budgetplan@minfin.ru" TargetMode="External"/><Relationship Id="rId3" Type="http://schemas.openxmlformats.org/officeDocument/2006/relationships/hyperlink" Target="mailto:ShchekinaEL@rosmmintrud.ru" TargetMode="External"/><Relationship Id="rId4" Type="http://schemas.openxmlformats.org/officeDocument/2006/relationships/hyperlink" Target="mailto:ZaleshinEE@rosmintrud.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