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12-3/10/В-5309 от 12 июля 2017 г.</w:t>
      </w:r>
    </w:p>
    <w:p>
      <w:pPr>
        <w:pStyle w:val="Heading2"/>
        <w:rPr/>
      </w:pPr>
      <w:r>
        <w:rPr/>
        <w:t>Руководителям органов исполнительной власти субъектов Российской Федерации в сфере социальной защиты населения</w:t>
      </w:r>
    </w:p>
    <w:p>
      <w:pPr>
        <w:pStyle w:val="TextBody"/>
        <w:rPr/>
      </w:pPr>
      <w:r>
        <w:rPr/>
        <w:t>Министерством труда и социальной защиты Российской Федерации 28 июня, 30 июня и 5 июля 2017 года проведены видеоселекторные совещания с органами исполнительной власти субъектов Российской Федерации в сфере социальной защиты.</w:t>
      </w:r>
    </w:p>
    <w:p>
      <w:pPr>
        <w:pStyle w:val="TextBody"/>
        <w:rPr/>
      </w:pPr>
      <w:r>
        <w:rPr/>
        <w:t>По итогам видеоселекторных совещаний Минтрудом России направляется Протокол от 28 июня 2017 г., 30 июня 2017 г., 5 июля 2017 г. № 12-3/1-8 (прилагается).</w:t>
      </w:r>
    </w:p>
    <w:p>
      <w:pPr>
        <w:pStyle w:val="TextBody"/>
        <w:rPr/>
      </w:pPr>
      <w:r>
        <w:rPr/>
        <w:t>В рамках протокольного решения органам исполнительной власти субъектов Российской Федерации в сфере социальной защиты населения рекомендовано обеспечить:</w:t>
      </w:r>
    </w:p>
    <w:p>
      <w:pPr>
        <w:pStyle w:val="TextBody"/>
        <w:rPr/>
      </w:pPr>
      <w:r>
        <w:rPr/>
        <w:t>1) проведение работы по составлению и пересмотру индивидуальных программ реабилитации или абилитации инвалидов (с учетом нарушенных функций жизнедеятельности граждан), проживающих в стационарных организациях социального обслуживания, в том числе для детей-инвалидов, а также отдельных категорий граждан из числа ветеранов, и продолжить указанный мониторинг в соответствии с письмами Минтруда России от 30 декабря 2016 г. № 13-5/10/В-10060 и от 16 июня 2017 г. № 12-3/10/В-4629;</w:t>
      </w:r>
    </w:p>
    <w:p>
      <w:pPr>
        <w:pStyle w:val="TextBody"/>
        <w:rPr/>
      </w:pPr>
      <w:r>
        <w:rPr/>
        <w:t>2) достижение контрольных показателей, определенных региональными планами мероприятий («дорожными картами») «Повышение эффективности и качества услуг в сфере социального обслуживания населения (2013-2018 годы)», в части:</w:t>
      </w:r>
    </w:p>
    <w:p>
      <w:pPr>
        <w:pStyle w:val="TextBody"/>
        <w:rPr/>
      </w:pPr>
      <w:r>
        <w:rPr/>
        <w:t>а. очередности в организации, осуществляющие социальное обслуживание;</w:t>
      </w:r>
    </w:p>
    <w:p>
      <w:pPr>
        <w:pStyle w:val="TextBody"/>
        <w:rPr/>
      </w:pPr>
      <w:r>
        <w:rPr/>
        <w:t>б. удельного веса зданий стационарных организаций социального обслуживания граждан пожилого возраста, инвалидов (взрослых и детей), лиц без определенного места жительства и занятий, требующих реконструкции зданий, находящихся в аварийном состоянии, ветхих зданий (от общего количества зданий);</w:t>
      </w:r>
    </w:p>
    <w:p>
      <w:pPr>
        <w:pStyle w:val="TextBody"/>
        <w:rPr/>
      </w:pPr>
      <w:r>
        <w:rPr/>
        <w:t>в. удельного веса граждан пожилого возраста и инвалидов (взрослых и детей), получивших услуги в негосударственных организациях социального обслуживания, в общей численности граждан пожилого возраста и инвалидов (взрослых и детей), получивших услуги в организациях социального обслуживания всех форм собственности;</w:t>
      </w:r>
    </w:p>
    <w:p>
      <w:pPr>
        <w:pStyle w:val="TextBody"/>
        <w:rPr/>
      </w:pPr>
      <w:r>
        <w:rPr/>
        <w:t>г. удельного веса негосударственных организаций, оказывающих социальные услуги, от общего количества организаций всех форм собственности;</w:t>
      </w:r>
    </w:p>
    <w:p>
      <w:pPr>
        <w:pStyle w:val="TextBody"/>
        <w:rPr/>
      </w:pPr>
      <w:r>
        <w:rPr/>
        <w:t>д. среднесписочной численности социальных работников организаций социального обслуживания;</w:t>
      </w:r>
    </w:p>
    <w:p>
      <w:pPr>
        <w:pStyle w:val="TextBody"/>
        <w:rPr/>
      </w:pPr>
      <w:r>
        <w:rPr/>
        <w:t>е. других показателей планов мероприятий («дорожных карт»);</w:t>
      </w:r>
    </w:p>
    <w:p>
      <w:pPr>
        <w:pStyle w:val="TextBody"/>
        <w:rPr/>
      </w:pPr>
      <w:r>
        <w:rPr/>
        <w:t>3) реализацию права на образование детей с ограниченными возможностями здоровья, находящихся в стационарных организациях (отделениях) социального обслуживания для умственно отсталых детей и детей с физическими недостатками (далее – ДДИ), посредством их включения в образовательный процесс на базе образовательных организаций системы образования;</w:t>
      </w:r>
    </w:p>
    <w:p>
      <w:pPr>
        <w:pStyle w:val="TextBody"/>
        <w:rPr/>
      </w:pPr>
      <w:r>
        <w:rPr/>
        <w:t>4) проведение повторной оценки соответствия ДДИ требованиям постановления Правительства Российской Федерации от 24 мая 2014 г.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 (далее – постановление Правительства Российской Федерации от 24 мая 2014 г. № 481) и СанПиН 2.4.3259-15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(далее – СанПиН 2.4.3259-15) с использованием критериев, рекомендованных письмом Минобрнауки России от 9 июня 2016 г. № ВК-1304/07 «Об оценке соответствия требованиям постановления Правительства Российской Федерации» и материалов информационно-методического сборника «Развивающий уход за детьми с тяжелыми и множественными нарушениями развития», разработанного совместно РБОО «Центр лечебной педагогики» и НОБФ «Теревинф» по заказу Фонда поддержки детей, находящихся в трудной жизненной ситуации для работников ДДИ (далее – информационно-методический сборник «Развивающий уход за детьми с тяжелыми и множественными нарушениями развития»);</w:t>
      </w:r>
    </w:p>
    <w:p>
      <w:pPr>
        <w:pStyle w:val="TextBody"/>
        <w:rPr/>
      </w:pPr>
      <w:r>
        <w:rPr/>
        <w:t>5) пересмотр действующих планов («дорожных карт») по развитию и приведению деятельности ДДИ в соответствие с требованиями постановления Правительства Российской Федерации от 24 мая 2014 г. № 481 в части разработчиков, исполнителей, перечня мероприятий и сроков реализации, обеспечить их корректировку, а также разработать и утвердить указанные планы («дорожные карты») первично или повторно, при необходимости;</w:t>
      </w:r>
    </w:p>
    <w:p>
      <w:pPr>
        <w:pStyle w:val="TextBody"/>
        <w:rPr/>
      </w:pPr>
      <w:r>
        <w:rPr/>
        <w:t>6) приведение режима дня воспитанников ДДИ в части пребывания детей на свежем воздухе и продолжительности сна в соответствии с нормами, установленными СанПиН 2.4.3259-15;</w:t>
      </w:r>
    </w:p>
    <w:p>
      <w:pPr>
        <w:pStyle w:val="TextBody"/>
        <w:rPr/>
      </w:pPr>
      <w:r>
        <w:rPr/>
        <w:t>7) внедрение технологий развивающего ухода за детьми с тяжелыми и множественными нарушениями развития в практику деятельности работников ДДИ, в том числе с использованием информационно-методического сборника «Развивающий уход за детьми с тяжелыми и множественными нарушениями развития»;</w:t>
      </w:r>
    </w:p>
    <w:p>
      <w:pPr>
        <w:pStyle w:val="TextBody"/>
        <w:rPr/>
      </w:pPr>
      <w:r>
        <w:rPr/>
        <w:t>8) предоставление необходимых детям-инвалидам, имеющим родителей (законных представителей), нуждающимся в социальном обслуживании (с учетом индивидуальных потребностей), видов социальных услуг и социального сопровождения, которые не будут ухудшать условия их жизнедеятельности, в том числе не будут препятствовать сохранению родственных связей, привязанностей родителей к детям, детей к родителям и другим родственникам. При определении перечня социальных услуг и форм социального обслуживания детям-инвалидам, имеющим родителей (законных представителей), обеспечить преимущественное предоставление социальных услуг в форме социального обслуживания на дому, в полустационарной форме социального обслуживания (разные формы дневного стационара), в том числе с применением стационарозамещающих технологий. Получение социальных услуг в стационарной форме социального обслуживания (при постоянном, временном (на срок, определенный индивидуальной программой предоставления социальных услуг) или пятидневном (в неделю) круглосуточном проживании в организации социального обслуживания) предоставлять детям-инвалидам, имеющим родителей (законных представителей), только в случаях, когда существует реальная угроза их жизни и здоровью;</w:t>
      </w:r>
    </w:p>
    <w:p>
      <w:pPr>
        <w:pStyle w:val="TextBody"/>
        <w:rPr/>
      </w:pPr>
      <w:r>
        <w:rPr/>
        <w:t>9) принятие мер по безусловному исполнению поручений Президента Российской Федерации от 7 мая 2012 г. № 597, от 1 июня 2012 г. № 761 и от 28 декабря 2012 г. № 1688.</w:t>
      </w:r>
    </w:p>
    <w:p>
      <w:pPr>
        <w:pStyle w:val="TextBody"/>
        <w:rPr/>
      </w:pPr>
      <w:r>
        <w:rPr/>
        <w:t xml:space="preserve">Просим обеспечить выполнение пунктов Протокола в указанные сроки и направление соответствующей информации, в том числе по приложениям № 1, № 2 к Протоколу (размещены на официальном сайте Минтруда России в разделе «Письма»), в Минтруд России в установленном порядке и по адресам электронной почты: </w:t>
      </w:r>
      <w:hyperlink r:id="rId2">
        <w:r>
          <w:rPr>
            <w:rStyle w:val="InternetLink"/>
          </w:rPr>
          <w:t>StarovoitovAN@rosmintrud.ru</w:t>
        </w:r>
      </w:hyperlink>
      <w:r>
        <w:rPr/>
        <w:t xml:space="preserve"> (п. 1.1, 2.1, 4, 5), </w:t>
      </w:r>
      <w:hyperlink r:id="rId3">
        <w:r>
          <w:rPr>
            <w:rStyle w:val="InternetLink"/>
          </w:rPr>
          <w:t>BakulinaEG@rosmintrud.ru</w:t>
        </w:r>
      </w:hyperlink>
      <w:r>
        <w:rPr/>
        <w:t xml:space="preserve"> (п. 3.1, 3.2, 3.3, 3.4, 3.5, 3.6).</w:t>
      </w:r>
    </w:p>
    <w:p>
      <w:pPr>
        <w:pStyle w:val="TextBody"/>
        <w:spacing w:before="0" w:after="0"/>
        <w:rPr/>
      </w:pPr>
      <w:r>
        <w:rPr>
          <w:rStyle w:val="StrongEmphasis"/>
        </w:rPr>
        <w:t xml:space="preserve">Первый заместитель Министра труда и социальной защиты Российской Федерации </w:t>
      </w:r>
    </w:p>
    <w:p>
      <w:pPr>
        <w:pStyle w:val="TextBody"/>
        <w:spacing w:before="0" w:after="0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voitovAN@rosmintrud.ru" TargetMode="External"/><Relationship Id="rId3" Type="http://schemas.openxmlformats.org/officeDocument/2006/relationships/hyperlink" Target="mailto:BakulinaEG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