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9F" w:rsidRDefault="00ED0F06">
      <w:pPr>
        <w:shd w:val="clear" w:color="auto" w:fill="FFFFFF"/>
        <w:spacing w:line="322" w:lineRule="exact"/>
        <w:ind w:left="5088"/>
      </w:pPr>
      <w:r>
        <w:rPr>
          <w:rFonts w:eastAsia="Times New Roman"/>
          <w:b/>
          <w:bCs/>
          <w:sz w:val="26"/>
          <w:szCs w:val="26"/>
        </w:rPr>
        <w:t>ФОРМА</w:t>
      </w:r>
    </w:p>
    <w:p w:rsidR="00F40E9F" w:rsidRDefault="00ED0F06">
      <w:pPr>
        <w:shd w:val="clear" w:color="auto" w:fill="FFFFFF"/>
        <w:spacing w:line="322" w:lineRule="exact"/>
        <w:ind w:left="557"/>
        <w:jc w:val="center"/>
      </w:pPr>
      <w:r>
        <w:rPr>
          <w:rFonts w:eastAsia="Times New Roman"/>
          <w:b/>
          <w:bCs/>
          <w:sz w:val="26"/>
          <w:szCs w:val="26"/>
        </w:rPr>
        <w:t>представления предложений по актуализации перечней международных</w:t>
      </w:r>
    </w:p>
    <w:p w:rsidR="00F40E9F" w:rsidRDefault="00ED0F06">
      <w:pPr>
        <w:shd w:val="clear" w:color="auto" w:fill="FFFFFF"/>
        <w:spacing w:line="322" w:lineRule="exact"/>
        <w:ind w:left="552"/>
        <w:jc w:val="center"/>
      </w:pPr>
      <w:r>
        <w:rPr>
          <w:rFonts w:eastAsia="Times New Roman"/>
          <w:b/>
          <w:bCs/>
          <w:sz w:val="26"/>
          <w:szCs w:val="26"/>
        </w:rPr>
        <w:t>и региональных стандартов, а в случае их отсутствия - национальных</w:t>
      </w:r>
    </w:p>
    <w:p w:rsidR="00F40E9F" w:rsidRDefault="00ED0F06">
      <w:pPr>
        <w:shd w:val="clear" w:color="auto" w:fill="FFFFFF"/>
        <w:spacing w:line="322" w:lineRule="exact"/>
        <w:ind w:left="533"/>
        <w:jc w:val="center"/>
      </w:pPr>
      <w:r>
        <w:rPr>
          <w:b/>
          <w:bCs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государственных) стандартов государств - членов Таможенного союза,</w:t>
      </w:r>
    </w:p>
    <w:p w:rsidR="00F40E9F" w:rsidRDefault="00ED0F06">
      <w:pPr>
        <w:shd w:val="clear" w:color="auto" w:fill="FFFFFF"/>
        <w:spacing w:before="5" w:line="322" w:lineRule="exact"/>
        <w:ind w:left="518"/>
        <w:jc w:val="center"/>
      </w:pPr>
      <w:r>
        <w:rPr>
          <w:rFonts w:eastAsia="Times New Roman"/>
          <w:b/>
          <w:bCs/>
          <w:sz w:val="26"/>
          <w:szCs w:val="26"/>
        </w:rPr>
        <w:t>обеспечивающих соблюдение требований технического регламента</w:t>
      </w:r>
    </w:p>
    <w:p w:rsidR="00F40E9F" w:rsidRDefault="00ED0F06">
      <w:pPr>
        <w:shd w:val="clear" w:color="auto" w:fill="FFFFFF"/>
        <w:spacing w:line="322" w:lineRule="exact"/>
        <w:ind w:left="514"/>
        <w:jc w:val="center"/>
      </w:pPr>
      <w:r>
        <w:rPr>
          <w:rFonts w:eastAsia="Times New Roman"/>
          <w:b/>
          <w:bCs/>
          <w:sz w:val="26"/>
          <w:szCs w:val="26"/>
        </w:rPr>
        <w:t>Таможенного союза и необходимых для осуществления оценки</w:t>
      </w:r>
    </w:p>
    <w:p w:rsidR="00F40E9F" w:rsidRDefault="00ED0F06">
      <w:pPr>
        <w:shd w:val="clear" w:color="auto" w:fill="FFFFFF"/>
        <w:spacing w:line="322" w:lineRule="exact"/>
        <w:ind w:left="504"/>
        <w:jc w:val="center"/>
      </w:pPr>
      <w:r>
        <w:rPr>
          <w:b/>
          <w:bCs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подтверждения) соответствия, либо информации о переходном периоде,</w:t>
      </w:r>
    </w:p>
    <w:p w:rsidR="00F40E9F" w:rsidRDefault="00ED0F06">
      <w:pPr>
        <w:shd w:val="clear" w:color="auto" w:fill="FFFFFF"/>
        <w:spacing w:before="5" w:line="322" w:lineRule="exact"/>
        <w:ind w:left="504"/>
        <w:jc w:val="center"/>
      </w:pPr>
      <w:r>
        <w:rPr>
          <w:rFonts w:eastAsia="Times New Roman"/>
          <w:b/>
          <w:bCs/>
          <w:sz w:val="26"/>
          <w:szCs w:val="26"/>
        </w:rPr>
        <w:t>в течение которого могут применяться одновременно стандарты,</w:t>
      </w:r>
    </w:p>
    <w:p w:rsidR="00F40E9F" w:rsidRDefault="00ED0F06">
      <w:pPr>
        <w:shd w:val="clear" w:color="auto" w:fill="FFFFFF"/>
        <w:spacing w:line="322" w:lineRule="exact"/>
        <w:ind w:left="494"/>
        <w:jc w:val="center"/>
      </w:pPr>
      <w:r>
        <w:rPr>
          <w:rFonts w:eastAsia="Times New Roman"/>
          <w:b/>
          <w:bCs/>
          <w:sz w:val="26"/>
          <w:szCs w:val="26"/>
        </w:rPr>
        <w:t>содержащиеся в перечнях стандартов, и заменяющие их</w:t>
      </w:r>
    </w:p>
    <w:p w:rsidR="00F40E9F" w:rsidRDefault="00ED0F06">
      <w:pPr>
        <w:shd w:val="clear" w:color="auto" w:fill="FFFFFF"/>
        <w:spacing w:line="322" w:lineRule="exact"/>
        <w:ind w:left="480"/>
        <w:jc w:val="center"/>
      </w:pPr>
      <w:r>
        <w:rPr>
          <w:rFonts w:eastAsia="Times New Roman"/>
          <w:b/>
          <w:bCs/>
          <w:sz w:val="26"/>
          <w:szCs w:val="26"/>
        </w:rPr>
        <w:t>межгосударственные стандарты, включенные в указанные перечни</w:t>
      </w:r>
    </w:p>
    <w:p w:rsidR="00F40E9F" w:rsidRPr="00D91CC5" w:rsidRDefault="00ED0F06">
      <w:pPr>
        <w:shd w:val="clear" w:color="auto" w:fill="FFFFFF"/>
        <w:spacing w:line="322" w:lineRule="exact"/>
        <w:ind w:left="4968"/>
        <w:rPr>
          <w:b/>
        </w:rPr>
      </w:pPr>
      <w:r w:rsidRPr="00D91CC5">
        <w:rPr>
          <w:rFonts w:eastAsia="Times New Roman"/>
          <w:b/>
          <w:spacing w:val="-13"/>
          <w:sz w:val="26"/>
          <w:szCs w:val="26"/>
        </w:rPr>
        <w:t>стандартов</w:t>
      </w:r>
    </w:p>
    <w:p w:rsidR="00F40E9F" w:rsidRDefault="00F40E9F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42"/>
        <w:gridCol w:w="1570"/>
        <w:gridCol w:w="1877"/>
        <w:gridCol w:w="1709"/>
        <w:gridCol w:w="1714"/>
        <w:gridCol w:w="1656"/>
      </w:tblGrid>
      <w:tr w:rsidR="00F40E9F">
        <w:trPr>
          <w:trHeight w:hRule="exact" w:val="15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spacing w:line="317" w:lineRule="exact"/>
              <w:ind w:left="48" w:right="5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spacing w:line="278" w:lineRule="exact"/>
              <w:ind w:left="53" w:right="58" w:firstLine="178"/>
            </w:pPr>
            <w:r>
              <w:rPr>
                <w:rFonts w:eastAsia="Times New Roman"/>
                <w:sz w:val="24"/>
                <w:szCs w:val="24"/>
              </w:rPr>
              <w:t xml:space="preserve">Элементы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технического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регламента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Таможенного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союза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Обозначение </w:t>
            </w: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spacing w:line="278" w:lineRule="exact"/>
              <w:ind w:left="82" w:righ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spacing w:line="278" w:lineRule="exact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Обозначение,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заменяющего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spacing w:line="278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Дата начала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заменяющего</w:t>
            </w:r>
          </w:p>
          <w:p w:rsidR="00F40E9F" w:rsidRDefault="00ED0F06">
            <w:pPr>
              <w:shd w:val="clear" w:color="auto" w:fill="FFFFFF"/>
              <w:spacing w:line="278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F40E9F">
        <w:trPr>
          <w:trHeight w:hRule="exact" w:val="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682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610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763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677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691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40E9F">
        <w:trPr>
          <w:trHeight w:hRule="exact" w:val="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</w:tr>
      <w:tr w:rsidR="00F40E9F">
        <w:trPr>
          <w:trHeight w:hRule="exact" w:val="3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■2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</w:tr>
      <w:tr w:rsidR="00F40E9F">
        <w:trPr>
          <w:trHeight w:hRule="exact" w:val="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</w:tr>
      <w:tr w:rsidR="00F40E9F">
        <w:trPr>
          <w:trHeight w:hRule="exact" w:val="3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ED0F0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п...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E9F" w:rsidRDefault="00F40E9F">
            <w:pPr>
              <w:shd w:val="clear" w:color="auto" w:fill="FFFFFF"/>
            </w:pPr>
          </w:p>
        </w:tc>
      </w:tr>
    </w:tbl>
    <w:p w:rsidR="00F40E9F" w:rsidRDefault="00ED0F06">
      <w:pPr>
        <w:shd w:val="clear" w:color="auto" w:fill="FFFFFF"/>
        <w:spacing w:before="312" w:line="274" w:lineRule="exact"/>
        <w:ind w:left="3163" w:right="221" w:hanging="1555"/>
        <w:jc w:val="both"/>
      </w:pPr>
      <w:r>
        <w:rPr>
          <w:rFonts w:eastAsia="Times New Roman"/>
          <w:sz w:val="26"/>
          <w:szCs w:val="26"/>
        </w:rPr>
        <w:t xml:space="preserve">Примечания: 1. В графе 2 указываются элементы технического регламента </w:t>
      </w:r>
      <w:r>
        <w:rPr>
          <w:rFonts w:eastAsia="Times New Roman"/>
          <w:spacing w:val="-9"/>
          <w:sz w:val="26"/>
          <w:szCs w:val="26"/>
        </w:rPr>
        <w:t xml:space="preserve">Таможенного союза, соответствие которым может быть обеспечено </w:t>
      </w:r>
      <w:r>
        <w:rPr>
          <w:rFonts w:eastAsia="Times New Roman"/>
          <w:spacing w:val="-3"/>
          <w:sz w:val="26"/>
          <w:szCs w:val="26"/>
        </w:rPr>
        <w:t xml:space="preserve">посредством выполнения требований стандарта (абзац, подпункт, </w:t>
      </w:r>
      <w:r>
        <w:rPr>
          <w:rFonts w:eastAsia="Times New Roman"/>
          <w:sz w:val="26"/>
          <w:szCs w:val="26"/>
        </w:rPr>
        <w:t>пункт, статья, приложение).</w:t>
      </w:r>
    </w:p>
    <w:p w:rsidR="00F40E9F" w:rsidRDefault="00ED0F06">
      <w:pPr>
        <w:shd w:val="clear" w:color="auto" w:fill="FFFFFF"/>
        <w:spacing w:line="274" w:lineRule="exact"/>
        <w:ind w:left="3149" w:right="245"/>
        <w:jc w:val="both"/>
      </w:pPr>
      <w:r>
        <w:rPr>
          <w:spacing w:val="-8"/>
          <w:sz w:val="26"/>
          <w:szCs w:val="26"/>
        </w:rPr>
        <w:t xml:space="preserve">2. </w:t>
      </w:r>
      <w:r>
        <w:rPr>
          <w:rFonts w:eastAsia="Times New Roman"/>
          <w:spacing w:val="-8"/>
          <w:sz w:val="26"/>
          <w:szCs w:val="26"/>
        </w:rPr>
        <w:t xml:space="preserve">В графе 3 указываются обозначения разделов (пунктов, подпунктов) </w:t>
      </w:r>
      <w:r>
        <w:rPr>
          <w:rFonts w:eastAsia="Times New Roman"/>
          <w:spacing w:val="-2"/>
          <w:sz w:val="26"/>
          <w:szCs w:val="26"/>
        </w:rPr>
        <w:t xml:space="preserve">стандарта, если для целей технического регламента Таможенного </w:t>
      </w:r>
      <w:r>
        <w:rPr>
          <w:rFonts w:eastAsia="Times New Roman"/>
          <w:sz w:val="26"/>
          <w:szCs w:val="26"/>
        </w:rPr>
        <w:t>союза применяются отдельные разделы (пункты, подпункты) стандарта, а не стандарт в целом.</w:t>
      </w:r>
    </w:p>
    <w:p w:rsidR="00621CDE" w:rsidRPr="007F6FE1" w:rsidRDefault="00ED0F06">
      <w:pPr>
        <w:shd w:val="clear" w:color="auto" w:fill="FFFFFF"/>
        <w:spacing w:line="274" w:lineRule="exact"/>
        <w:ind w:left="3144" w:right="264"/>
        <w:jc w:val="both"/>
        <w:rPr>
          <w:rFonts w:eastAsia="Times New Roman"/>
          <w:spacing w:val="-7"/>
          <w:sz w:val="26"/>
          <w:szCs w:val="26"/>
        </w:rPr>
      </w:pPr>
      <w:r w:rsidRPr="007F6FE1">
        <w:rPr>
          <w:spacing w:val="-2"/>
          <w:sz w:val="26"/>
          <w:szCs w:val="26"/>
        </w:rPr>
        <w:t xml:space="preserve">4. </w:t>
      </w:r>
      <w:proofErr w:type="gramStart"/>
      <w:r w:rsidRPr="007F6FE1">
        <w:rPr>
          <w:rFonts w:eastAsia="Times New Roman"/>
          <w:spacing w:val="-2"/>
          <w:sz w:val="26"/>
          <w:szCs w:val="26"/>
        </w:rPr>
        <w:t xml:space="preserve">В графе 6 указывается дата начала применения заменяющего </w:t>
      </w:r>
      <w:r w:rsidRPr="007F6FE1">
        <w:rPr>
          <w:rFonts w:eastAsia="Times New Roman"/>
          <w:spacing w:val="-7"/>
          <w:sz w:val="26"/>
          <w:szCs w:val="26"/>
        </w:rPr>
        <w:t>стандарта (день - двумя арабскими цифрами, месяц - двумя арабскими</w:t>
      </w:r>
      <w:proofErr w:type="gramEnd"/>
    </w:p>
    <w:p w:rsidR="007F6FE1" w:rsidRDefault="007F6FE1">
      <w:pPr>
        <w:shd w:val="clear" w:color="auto" w:fill="FFFFFF"/>
        <w:spacing w:line="274" w:lineRule="exact"/>
        <w:ind w:left="3144" w:right="264"/>
        <w:jc w:val="both"/>
        <w:rPr>
          <w:sz w:val="28"/>
          <w:szCs w:val="28"/>
        </w:rPr>
      </w:pPr>
      <w:r w:rsidRPr="007F6FE1">
        <w:rPr>
          <w:spacing w:val="-2"/>
          <w:sz w:val="26"/>
          <w:szCs w:val="26"/>
        </w:rPr>
        <w:t>цифрами, год –</w:t>
      </w:r>
      <w:r w:rsidRPr="007F6FE1">
        <w:rPr>
          <w:sz w:val="26"/>
          <w:szCs w:val="26"/>
        </w:rPr>
        <w:t xml:space="preserve"> четырьмя арабскими цифрами</w:t>
      </w:r>
      <w:r w:rsidRPr="007F6FE1">
        <w:rPr>
          <w:sz w:val="28"/>
          <w:szCs w:val="28"/>
        </w:rPr>
        <w:t>)</w:t>
      </w:r>
    </w:p>
    <w:p w:rsidR="007F6FE1" w:rsidRPr="00D91CC5" w:rsidRDefault="007F6FE1">
      <w:pPr>
        <w:shd w:val="clear" w:color="auto" w:fill="FFFFFF"/>
        <w:spacing w:line="274" w:lineRule="exact"/>
        <w:ind w:left="3144" w:right="264"/>
        <w:jc w:val="both"/>
        <w:rPr>
          <w:sz w:val="26"/>
          <w:szCs w:val="26"/>
        </w:rPr>
      </w:pPr>
      <w:r w:rsidRPr="00D91CC5">
        <w:rPr>
          <w:sz w:val="26"/>
          <w:szCs w:val="26"/>
        </w:rPr>
        <w:t>5. В графе 7 указывается информация о дате окончания применения стандарта, взамен которого разработан заменяющий стандарт</w:t>
      </w:r>
      <w:r w:rsidR="00D91CC5" w:rsidRPr="00D91CC5">
        <w:rPr>
          <w:sz w:val="26"/>
          <w:szCs w:val="26"/>
        </w:rPr>
        <w:t xml:space="preserve"> </w:t>
      </w:r>
      <w:r w:rsidRPr="00D91CC5">
        <w:rPr>
          <w:sz w:val="26"/>
          <w:szCs w:val="26"/>
        </w:rPr>
        <w:t>(</w:t>
      </w:r>
      <w:proofErr w:type="spellStart"/>
      <w:proofErr w:type="gramStart"/>
      <w:r w:rsidRPr="00D91CC5">
        <w:rPr>
          <w:sz w:val="26"/>
          <w:szCs w:val="26"/>
        </w:rPr>
        <w:t>день</w:t>
      </w:r>
      <w:r w:rsidR="00D91CC5" w:rsidRPr="00D91CC5">
        <w:rPr>
          <w:sz w:val="26"/>
          <w:szCs w:val="26"/>
        </w:rPr>
        <w:t>-</w:t>
      </w:r>
      <w:r w:rsidRPr="00D91CC5">
        <w:rPr>
          <w:sz w:val="26"/>
          <w:szCs w:val="26"/>
        </w:rPr>
        <w:t>двумя</w:t>
      </w:r>
      <w:proofErr w:type="spellEnd"/>
      <w:proofErr w:type="gramEnd"/>
      <w:r w:rsidRPr="00D91CC5">
        <w:rPr>
          <w:sz w:val="26"/>
          <w:szCs w:val="26"/>
        </w:rPr>
        <w:t xml:space="preserve">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в течение которого могут применяться как замененный, так и заменяющий его стандарт  </w:t>
      </w:r>
    </w:p>
    <w:sectPr w:rsidR="007F6FE1" w:rsidRPr="00D91CC5" w:rsidSect="00F40E9F">
      <w:type w:val="continuous"/>
      <w:pgSz w:w="11909" w:h="16834"/>
      <w:pgMar w:top="1440" w:right="360" w:bottom="720" w:left="6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1CDE"/>
    <w:rsid w:val="00621CDE"/>
    <w:rsid w:val="007F6FE1"/>
    <w:rsid w:val="00D91CC5"/>
    <w:rsid w:val="00ED0F06"/>
    <w:rsid w:val="00F4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ChuhanovSA</dc:creator>
  <cp:keywords/>
  <dc:description/>
  <cp:lastModifiedBy>ZadvornovaMV</cp:lastModifiedBy>
  <cp:revision>2</cp:revision>
  <dcterms:created xsi:type="dcterms:W3CDTF">2013-10-25T07:04:00Z</dcterms:created>
  <dcterms:modified xsi:type="dcterms:W3CDTF">2013-10-25T07:04:00Z</dcterms:modified>
</cp:coreProperties>
</file>